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7AE0862"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DB0136">
        <w:t>8</w:t>
      </w:r>
      <w:r w:rsidR="0083546B">
        <w:t>-e</w:t>
      </w:r>
      <w:r w:rsidRPr="00CE0424">
        <w:tab/>
      </w:r>
      <w:proofErr w:type="spellStart"/>
      <w:r w:rsidRPr="00CE0424">
        <w:rPr>
          <w:sz w:val="32"/>
          <w:szCs w:val="32"/>
        </w:rPr>
        <w:t>Tdoc</w:t>
      </w:r>
      <w:proofErr w:type="spellEnd"/>
      <w:r w:rsidRPr="00CE0424">
        <w:rPr>
          <w:sz w:val="32"/>
          <w:szCs w:val="32"/>
        </w:rPr>
        <w:t xml:space="preserve"> </w:t>
      </w:r>
      <w:r w:rsidR="00BE10CD" w:rsidRPr="00BE10CD">
        <w:rPr>
          <w:sz w:val="32"/>
          <w:szCs w:val="32"/>
        </w:rPr>
        <w:t>R1-2</w:t>
      </w:r>
      <w:r w:rsidR="00DB0136">
        <w:rPr>
          <w:sz w:val="32"/>
          <w:szCs w:val="32"/>
        </w:rPr>
        <w:t>2</w:t>
      </w:r>
      <w:r w:rsidR="00A234C1">
        <w:rPr>
          <w:sz w:val="32"/>
          <w:szCs w:val="32"/>
        </w:rPr>
        <w:t>01644</w:t>
      </w:r>
    </w:p>
    <w:p w14:paraId="3086AC07" w14:textId="7BFC6A95" w:rsidR="00E90E49" w:rsidRPr="006F2D81" w:rsidRDefault="006F2D81" w:rsidP="000E0F2D">
      <w:pPr>
        <w:pStyle w:val="3GPPHeader"/>
        <w:rPr>
          <w:lang w:val="en-GB"/>
        </w:rPr>
      </w:pPr>
      <w:bookmarkStart w:id="0" w:name="_Hlk95477661"/>
      <w:r w:rsidRPr="006F2D81">
        <w:t xml:space="preserve">e-Meeting, </w:t>
      </w:r>
      <w:r w:rsidR="00DB0136">
        <w:t>February 21</w:t>
      </w:r>
      <w:r w:rsidR="00DB0136" w:rsidRPr="00DB0136">
        <w:rPr>
          <w:vertAlign w:val="superscript"/>
        </w:rPr>
        <w:t>st</w:t>
      </w:r>
      <w:r w:rsidR="00DB0136">
        <w:t>– March 3</w:t>
      </w:r>
      <w:r w:rsidR="00DB0136" w:rsidRPr="00DB0136">
        <w:rPr>
          <w:vertAlign w:val="superscript"/>
        </w:rPr>
        <w:t>rd</w:t>
      </w:r>
      <w:proofErr w:type="gramStart"/>
      <w:r w:rsidR="00DB0136">
        <w:t xml:space="preserve"> 2022</w:t>
      </w:r>
      <w:proofErr w:type="gramEnd"/>
    </w:p>
    <w:bookmarkEnd w:id="0"/>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1E90734" w:rsidR="00E90E49" w:rsidRPr="00AE5153" w:rsidRDefault="003D3C45" w:rsidP="000E0F2D">
      <w:pPr>
        <w:pStyle w:val="3GPPHeader"/>
        <w:rPr>
          <w:lang w:val="en-GB"/>
        </w:rPr>
      </w:pPr>
      <w:r>
        <w:t>Title:</w:t>
      </w:r>
      <w:r w:rsidR="00E90E49" w:rsidRPr="00CE0424">
        <w:tab/>
      </w:r>
      <w:r w:rsidR="00B22AD1">
        <w:t>Remaining issues on multi-beam enhancements</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71CAAD84"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w:t>
      </w:r>
      <w:proofErr w:type="spellStart"/>
      <w:r w:rsidRPr="006E062B">
        <w:t>feMIMO</w:t>
      </w:r>
      <w:proofErr w:type="spellEnd"/>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4F111A">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426CCF8A" w:rsidR="009E7184" w:rsidRDefault="009E7184" w:rsidP="000E0F2D">
      <w:pPr>
        <w:pStyle w:val="BodyText"/>
      </w:pPr>
      <w:r w:rsidRPr="006E062B">
        <w:t>During RAN1#10</w:t>
      </w:r>
      <w:r w:rsidR="005161A0">
        <w:t>7</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further</w:t>
      </w:r>
      <w:r w:rsidRPr="006E062B">
        <w:t xml:space="preserve"> input to </w:t>
      </w:r>
      <w:r w:rsidR="00507940" w:rsidRPr="006E062B">
        <w:t>the agreements and related topics</w:t>
      </w:r>
      <w:r w:rsidRPr="006E062B">
        <w:t>.</w:t>
      </w:r>
    </w:p>
    <w:p w14:paraId="6362C383" w14:textId="70248370" w:rsidR="0021165B" w:rsidRDefault="0021165B" w:rsidP="000E0F2D">
      <w:pPr>
        <w:pStyle w:val="BodyText"/>
      </w:pPr>
      <w:r>
        <w:t>Input on RRC parameters</w:t>
      </w:r>
      <w:r w:rsidR="00656AEE">
        <w:t xml:space="preserve"> is</w:t>
      </w:r>
      <w:r>
        <w:t xml:space="preserve"> provided in </w:t>
      </w:r>
      <w:r w:rsidR="00656AEE">
        <w:fldChar w:fldCharType="begin"/>
      </w:r>
      <w:r w:rsidR="00656AEE">
        <w:instrText xml:space="preserve"> REF _Ref95471542 \r \h </w:instrText>
      </w:r>
      <w:r w:rsidR="00656AEE">
        <w:fldChar w:fldCharType="separate"/>
      </w:r>
      <w:r w:rsidR="004F111A">
        <w:t>[9]</w:t>
      </w:r>
      <w:r w:rsidR="00656AEE">
        <w:fldChar w:fldCharType="end"/>
      </w:r>
      <w:r w:rsidR="00656AEE">
        <w:t>.</w:t>
      </w:r>
    </w:p>
    <w:p w14:paraId="4408E5AF" w14:textId="4A053363" w:rsidR="002607D0" w:rsidRDefault="00230D18" w:rsidP="00EF606F">
      <w:pPr>
        <w:pStyle w:val="Heading1"/>
      </w:pPr>
      <w:bookmarkStart w:id="1" w:name="_Ref178064866"/>
      <w:r>
        <w:t>2</w:t>
      </w:r>
      <w:r>
        <w:tab/>
      </w:r>
      <w:r w:rsidR="004000E8" w:rsidRPr="00CE0424">
        <w:t>Discussion</w:t>
      </w:r>
      <w:bookmarkEnd w:id="1"/>
    </w:p>
    <w:p w14:paraId="08766E0D" w14:textId="324B206E" w:rsidR="00D777D8" w:rsidRDefault="00D777D8" w:rsidP="00D777D8">
      <w:pPr>
        <w:pStyle w:val="Heading2"/>
      </w:pPr>
      <w:r>
        <w:t>2.1</w:t>
      </w:r>
      <w:r>
        <w:tab/>
        <w:t>Unified TCI framework</w:t>
      </w:r>
    </w:p>
    <w:p w14:paraId="10F82792" w14:textId="69CF8368" w:rsidR="00B42C2C" w:rsidRDefault="004017E6" w:rsidP="006F075E">
      <w:pPr>
        <w:pStyle w:val="Heading3"/>
      </w:pPr>
      <w:r w:rsidRPr="00CA6C2B">
        <w:t>2.1.</w:t>
      </w:r>
      <w:r w:rsidR="00B42C2C">
        <w:t>1</w:t>
      </w:r>
      <w:r w:rsidRPr="00CA6C2B">
        <w:tab/>
      </w:r>
      <w:r w:rsidR="00D71931">
        <w:t>Configuration of common TCI state update</w:t>
      </w:r>
    </w:p>
    <w:p w14:paraId="58F1239E" w14:textId="4B41EBB6" w:rsidR="00D71931" w:rsidRDefault="00D71931" w:rsidP="00D71931">
      <w:pPr>
        <w:pStyle w:val="BodyText"/>
        <w:rPr>
          <w:lang w:val="en-GB" w:eastAsia="ja-JP"/>
        </w:rPr>
      </w:pPr>
      <w:r>
        <w:rPr>
          <w:lang w:val="en-GB" w:eastAsia="ja-JP"/>
        </w:rPr>
        <w:t xml:space="preserve">One of the key components in the Rel-17 TCI state framework is that it should be possible to update the TCI state of several CCs at the same time. This is related both MAC CE activation, and DCI indication: one MAC </w:t>
      </w:r>
      <w:r>
        <w:rPr>
          <w:lang w:val="en-GB" w:eastAsia="ja-JP"/>
        </w:rPr>
        <w:lastRenderedPageBreak/>
        <w:t>CE activates TCI states in multiple CCs, and one DCI indicates TCI states in multiple CCs. So far, RAN1 has not agreed exactly on how to do this.</w:t>
      </w:r>
    </w:p>
    <w:p w14:paraId="3AFC93A3" w14:textId="0EEB6BC3" w:rsidR="00755749" w:rsidRDefault="00755749" w:rsidP="00D71931">
      <w:pPr>
        <w:pStyle w:val="BodyText"/>
        <w:rPr>
          <w:lang w:val="en-GB" w:eastAsia="ja-JP"/>
        </w:rPr>
      </w:pPr>
      <w:r>
        <w:rPr>
          <w:lang w:val="en-GB" w:eastAsia="ja-JP"/>
        </w:rPr>
        <w:t xml:space="preserve">There is corresponding functionality in Rel-16, where one MAC CE is used to activate TCI states in multiple CCs. This is accomplished using </w:t>
      </w:r>
      <w:r w:rsidR="00B94F35">
        <w:rPr>
          <w:lang w:val="en-GB" w:eastAsia="ja-JP"/>
        </w:rPr>
        <w:t>RRC-configured lists of CCs:</w:t>
      </w:r>
    </w:p>
    <w:p w14:paraId="054A6D89" w14:textId="09BDA224" w:rsidR="00B94F35" w:rsidRPr="00D27132" w:rsidRDefault="00B94F35" w:rsidP="00B94F35">
      <w:pPr>
        <w:pStyle w:val="PL"/>
      </w:pPr>
      <w:r w:rsidRPr="00D27132">
        <w:t xml:space="preserve">simultaneousTCI-UpdateList1-r16    SEQUENCE (SIZE (1..maxNrofServingCellsTCI-r16)) OF ServCellIndex        </w:t>
      </w:r>
    </w:p>
    <w:p w14:paraId="1358DED0" w14:textId="5896F78E" w:rsidR="00B94F35" w:rsidRPr="00D27132" w:rsidRDefault="00B94F35" w:rsidP="00B94F35">
      <w:pPr>
        <w:pStyle w:val="PL"/>
      </w:pPr>
      <w:r w:rsidRPr="00D27132">
        <w:t xml:space="preserve">simultaneousTCI-UpdateList2-r16    SEQUENCE (SIZE (1..maxNrofServingCellsTCI-r16)) OF ServCellIndex        </w:t>
      </w:r>
    </w:p>
    <w:p w14:paraId="7891E0AB" w14:textId="32A3E258" w:rsidR="00B94F35" w:rsidRDefault="00B94F35" w:rsidP="00D71931">
      <w:pPr>
        <w:pStyle w:val="BodyText"/>
        <w:rPr>
          <w:lang w:val="en-GB" w:eastAsia="ja-JP"/>
        </w:rPr>
      </w:pPr>
    </w:p>
    <w:p w14:paraId="6564B6ED" w14:textId="373FEEE3" w:rsidR="001C06AD" w:rsidRDefault="00B94F35" w:rsidP="00D71931">
      <w:pPr>
        <w:pStyle w:val="BodyText"/>
        <w:rPr>
          <w:lang w:val="en-GB" w:eastAsia="ja-JP"/>
        </w:rPr>
      </w:pPr>
      <w:r>
        <w:rPr>
          <w:lang w:val="en-GB" w:eastAsia="ja-JP"/>
        </w:rPr>
        <w:t xml:space="preserve">A similar procedure could be used for the Rel-17 TCI states: the MAC CE activation and DCI indication is performed for all the CCs in these lists. One option could even be to reuse the exact same lists. However, </w:t>
      </w:r>
      <w:r w:rsidR="0023638A">
        <w:rPr>
          <w:lang w:val="en-GB" w:eastAsia="ja-JP"/>
        </w:rPr>
        <w:t>these Rel-16 lists are configured per cell group, and it may be so that the UE only supports the Rel-17 for one band, and the cell group may contain CCs from different bands</w:t>
      </w:r>
      <w:r w:rsidR="00DA59E1">
        <w:rPr>
          <w:lang w:val="en-GB" w:eastAsia="ja-JP"/>
        </w:rPr>
        <w:t>. In this</w:t>
      </w:r>
      <w:r w:rsidR="0023638A">
        <w:rPr>
          <w:lang w:val="en-GB" w:eastAsia="ja-JP"/>
        </w:rPr>
        <w:t xml:space="preserve"> case</w:t>
      </w:r>
      <w:r w:rsidR="00DA59E1">
        <w:rPr>
          <w:lang w:val="en-GB" w:eastAsia="ja-JP"/>
        </w:rPr>
        <w:t>,</w:t>
      </w:r>
      <w:r w:rsidR="0023638A">
        <w:rPr>
          <w:lang w:val="en-GB" w:eastAsia="ja-JP"/>
        </w:rPr>
        <w:t xml:space="preserve"> the NW would have to configure the Rel-15/16 TCI framework for some CCs, and the Rel-17 TCI framework for some CCs in the same cell group. Therefore, we propose to define new </w:t>
      </w:r>
      <w:r w:rsidR="001C06AD">
        <w:rPr>
          <w:lang w:val="en-GB" w:eastAsia="ja-JP"/>
        </w:rPr>
        <w:t>CC lists:</w:t>
      </w:r>
    </w:p>
    <w:p w14:paraId="542F290D" w14:textId="35D5B09C" w:rsidR="00B94F35" w:rsidRDefault="001C06AD" w:rsidP="001C06AD">
      <w:pPr>
        <w:pStyle w:val="Proposal"/>
        <w:rPr>
          <w:lang w:val="en-GB" w:eastAsia="ja-JP"/>
        </w:rPr>
      </w:pPr>
      <w:bookmarkStart w:id="2" w:name="_Toc95748524"/>
      <w:r>
        <w:rPr>
          <w:lang w:val="en-GB" w:eastAsia="ja-JP"/>
        </w:rPr>
        <w:t xml:space="preserve">Define </w:t>
      </w:r>
      <w:r w:rsidR="00D33F86">
        <w:rPr>
          <w:lang w:val="en-GB" w:eastAsia="ja-JP"/>
        </w:rPr>
        <w:t xml:space="preserve">two </w:t>
      </w:r>
      <w:r>
        <w:rPr>
          <w:lang w:val="en-GB" w:eastAsia="ja-JP"/>
        </w:rPr>
        <w:t xml:space="preserve">new CC lists to handle common TCI state update for </w:t>
      </w:r>
      <w:r w:rsidR="00D33F86">
        <w:rPr>
          <w:lang w:val="en-GB" w:eastAsia="ja-JP"/>
        </w:rPr>
        <w:t>the Rel-17</w:t>
      </w:r>
      <w:r w:rsidR="00B94F35">
        <w:rPr>
          <w:lang w:val="en-GB" w:eastAsia="ja-JP"/>
        </w:rPr>
        <w:t xml:space="preserve"> </w:t>
      </w:r>
      <w:r w:rsidR="00D33F86">
        <w:rPr>
          <w:lang w:val="en-GB" w:eastAsia="ja-JP"/>
        </w:rPr>
        <w:t>TCI state framework.</w:t>
      </w:r>
      <w:bookmarkEnd w:id="2"/>
    </w:p>
    <w:p w14:paraId="61E51694" w14:textId="4B236566" w:rsidR="00D33F86" w:rsidRDefault="00D33F86" w:rsidP="00D33F86">
      <w:pPr>
        <w:pStyle w:val="BodyText"/>
        <w:rPr>
          <w:lang w:val="en-GB" w:eastAsia="ja-JP"/>
        </w:rPr>
      </w:pPr>
      <w:r>
        <w:rPr>
          <w:lang w:val="en-GB" w:eastAsia="ja-JP"/>
        </w:rPr>
        <w:t>As in Rel-16, a MAC CE activation targeting one CC in the list will be applied for all the CCs in the corresponding list. In addition, a DCI indication of one of the activated MAC CE states will be applied to all CCs in the corresponding list.</w:t>
      </w:r>
      <w:r w:rsidR="00CA33F3">
        <w:rPr>
          <w:lang w:val="en-GB" w:eastAsia="ja-JP"/>
        </w:rPr>
        <w:t xml:space="preserve"> The list is applied both DL/joint and UL TCI states.</w:t>
      </w:r>
    </w:p>
    <w:p w14:paraId="60DCE5EB" w14:textId="38912AD4" w:rsidR="00D33F86" w:rsidRDefault="00D33F86" w:rsidP="00D33F86">
      <w:pPr>
        <w:pStyle w:val="BodyText"/>
        <w:rPr>
          <w:lang w:val="en-GB" w:eastAsia="ja-JP"/>
        </w:rPr>
      </w:pPr>
      <w:r>
        <w:rPr>
          <w:lang w:val="en-GB" w:eastAsia="ja-JP"/>
        </w:rPr>
        <w:t xml:space="preserve">Due to the potential interaction between the Rel-16 and Rel-17 CC lists, one CC </w:t>
      </w:r>
      <w:r w:rsidR="00E072BC">
        <w:rPr>
          <w:lang w:val="en-GB" w:eastAsia="ja-JP"/>
        </w:rPr>
        <w:t>can only be in either the Rel-16 lists, or the Rel-17 lists:</w:t>
      </w:r>
    </w:p>
    <w:p w14:paraId="5DDED9D0" w14:textId="4CFB1445" w:rsidR="00E072BC" w:rsidRDefault="00E072BC" w:rsidP="00E072BC">
      <w:pPr>
        <w:pStyle w:val="Proposal"/>
        <w:rPr>
          <w:lang w:val="en-GB" w:eastAsia="ja-JP"/>
        </w:rPr>
      </w:pPr>
      <w:bookmarkStart w:id="3" w:name="_Toc95748525"/>
      <w:r>
        <w:rPr>
          <w:lang w:val="en-GB" w:eastAsia="ja-JP"/>
        </w:rPr>
        <w:t>One CC can be in either the Rel-16 CC list(s</w:t>
      </w:r>
      <w:proofErr w:type="gramStart"/>
      <w:r>
        <w:rPr>
          <w:lang w:val="en-GB" w:eastAsia="ja-JP"/>
        </w:rPr>
        <w:t>)</w:t>
      </w:r>
      <w:proofErr w:type="gramEnd"/>
      <w:r>
        <w:rPr>
          <w:lang w:val="en-GB" w:eastAsia="ja-JP"/>
        </w:rPr>
        <w:t xml:space="preserve"> or the Rel-17 CC list(s). This restriction is captured in 38.331.</w:t>
      </w:r>
      <w:bookmarkEnd w:id="3"/>
    </w:p>
    <w:p w14:paraId="54557936" w14:textId="550F7F48" w:rsidR="00E072BC" w:rsidRPr="00D71931" w:rsidRDefault="00E072BC" w:rsidP="00E072BC">
      <w:pPr>
        <w:pStyle w:val="BodyText"/>
        <w:rPr>
          <w:lang w:val="en-GB" w:eastAsia="ja-JP"/>
        </w:rPr>
      </w:pPr>
      <w:r>
        <w:rPr>
          <w:lang w:val="en-GB" w:eastAsia="ja-JP"/>
        </w:rPr>
        <w:t>The above restriction should be captured in 38.331.</w:t>
      </w:r>
    </w:p>
    <w:p w14:paraId="1E9E1E3B" w14:textId="5309F42D" w:rsidR="004017E6" w:rsidRPr="00CA6C2B" w:rsidRDefault="00B42C2C" w:rsidP="00B42C2C">
      <w:pPr>
        <w:pStyle w:val="Heading3"/>
      </w:pPr>
      <w:r>
        <w:t>2.1.2</w:t>
      </w:r>
      <w:r>
        <w:tab/>
      </w:r>
      <w:r w:rsidR="00BE2BD2">
        <w:t xml:space="preserve">Simultaneous </w:t>
      </w:r>
      <w:r w:rsidR="00BC2D0A">
        <w:t xml:space="preserve">configuration of </w:t>
      </w:r>
      <w:r>
        <w:t>Rel-17 TCI and spatial relation info</w:t>
      </w:r>
      <w:r w:rsidR="00263269">
        <w:t xml:space="preserve"> </w:t>
      </w:r>
    </w:p>
    <w:p w14:paraId="6B5EA09A" w14:textId="5775621B" w:rsidR="00305535" w:rsidRPr="000246B8" w:rsidRDefault="000D38AE" w:rsidP="00CA6C2B">
      <w:pPr>
        <w:rPr>
          <w:lang w:val="en-GB" w:eastAsia="ja-JP"/>
        </w:rPr>
      </w:pPr>
      <w:r w:rsidRPr="000246B8">
        <w:rPr>
          <w:lang w:val="en-GB" w:eastAsia="ja-JP"/>
        </w:rPr>
        <w:t>In RAN1#10</w:t>
      </w:r>
      <w:r w:rsidR="000524FE">
        <w:rPr>
          <w:lang w:val="en-GB" w:eastAsia="ja-JP"/>
        </w:rPr>
        <w:t>7</w:t>
      </w:r>
      <w:r w:rsidRPr="000246B8">
        <w:rPr>
          <w:lang w:val="en-GB" w:eastAsia="ja-JP"/>
        </w:rPr>
        <w:t xml:space="preserve">-e, the following </w:t>
      </w:r>
      <w:r w:rsidR="000524FE">
        <w:rPr>
          <w:lang w:val="en-GB" w:eastAsia="ja-JP"/>
        </w:rPr>
        <w:t xml:space="preserve">working assumption </w:t>
      </w:r>
      <w:r w:rsidRPr="000246B8">
        <w:rPr>
          <w:lang w:val="en-GB" w:eastAsia="ja-JP"/>
        </w:rPr>
        <w:t xml:space="preserve">was </w:t>
      </w:r>
      <w:r w:rsidR="000524FE">
        <w:rPr>
          <w:lang w:val="en-GB" w:eastAsia="ja-JP"/>
        </w:rPr>
        <w:t>made</w:t>
      </w:r>
      <w:r w:rsidRPr="000246B8">
        <w:rPr>
          <w:lang w:val="en-GB" w:eastAsia="ja-JP"/>
        </w:rPr>
        <w:t>:</w:t>
      </w:r>
      <w:r w:rsidR="00171766" w:rsidRPr="000246B8">
        <w:rPr>
          <w:lang w:val="en-GB" w:eastAsia="ja-JP"/>
        </w:rPr>
        <w:t xml:space="preserve"> </w:t>
      </w:r>
    </w:p>
    <w:p w14:paraId="56EB5D17" w14:textId="3FC46FBB" w:rsidR="00305535" w:rsidRPr="000246B8" w:rsidRDefault="00305535" w:rsidP="00CA6C2B">
      <w:pPr>
        <w:rPr>
          <w:lang w:val="x-none" w:eastAsia="ja-JP"/>
        </w:rPr>
      </w:pPr>
      <w:r w:rsidRPr="000246B8">
        <w:rPr>
          <w:noProof/>
        </w:rPr>
        <mc:AlternateContent>
          <mc:Choice Requires="wps">
            <w:drawing>
              <wp:inline distT="0" distB="0" distL="0" distR="0" wp14:anchorId="6DFF1CD1" wp14:editId="1FA0A19B">
                <wp:extent cx="6120765" cy="1804168"/>
                <wp:effectExtent l="0" t="0" r="13335" b="17145"/>
                <wp:docPr id="9" name="Text Box 9"/>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6D832A6B" w14:textId="77777777" w:rsidR="000524FE" w:rsidRPr="000524FE" w:rsidRDefault="000524FE" w:rsidP="000524FE">
                            <w:pPr>
                              <w:rPr>
                                <w:rFonts w:ascii="Times" w:eastAsia="Malgun Gothic" w:hAnsi="Times" w:cs="Times"/>
                                <w:b/>
                                <w:szCs w:val="18"/>
                                <w:highlight w:val="darkYellow"/>
                                <w:lang w:eastAsia="ko-KR"/>
                              </w:rPr>
                            </w:pPr>
                            <w:r w:rsidRPr="000524FE">
                              <w:rPr>
                                <w:rFonts w:ascii="Times" w:eastAsia="Batang" w:hAnsi="Times" w:cs="Times"/>
                                <w:b/>
                                <w:szCs w:val="18"/>
                                <w:highlight w:val="darkYellow"/>
                                <w:lang w:val="en-GB"/>
                              </w:rPr>
                              <w:t>Working Assumption</w:t>
                            </w:r>
                          </w:p>
                          <w:p w14:paraId="5BFF4454" w14:textId="77777777" w:rsidR="000524FE" w:rsidRPr="000524FE" w:rsidRDefault="000524FE" w:rsidP="000524FE">
                            <w:pPr>
                              <w:snapToGrid w:val="0"/>
                              <w:jc w:val="both"/>
                              <w:rPr>
                                <w:rFonts w:ascii="Times" w:eastAsia="Batang" w:hAnsi="Times" w:cs="Times"/>
                              </w:rPr>
                            </w:pPr>
                            <w:r w:rsidRPr="000524FE">
                              <w:rPr>
                                <w:rFonts w:ascii="Times" w:eastAsia="Batang" w:hAnsi="Times" w:cs="Times"/>
                                <w:szCs w:val="18"/>
                                <w:lang w:val="en-GB"/>
                              </w:rPr>
                              <w:t>The UE is not expected to be configured with Rel-15/Rel-16 TCI/</w:t>
                            </w:r>
                            <w:proofErr w:type="spellStart"/>
                            <w:r w:rsidRPr="000524FE">
                              <w:rPr>
                                <w:rFonts w:ascii="Times" w:eastAsia="Batang" w:hAnsi="Times" w:cs="Times"/>
                                <w:i/>
                                <w:szCs w:val="18"/>
                                <w:lang w:val="en-GB"/>
                              </w:rPr>
                              <w:t>SpatialRelationInfo</w:t>
                            </w:r>
                            <w:proofErr w:type="spellEnd"/>
                            <w:r w:rsidRPr="000524FE">
                              <w:rPr>
                                <w:rFonts w:ascii="Times" w:eastAsia="Batang" w:hAnsi="Times" w:cs="Times"/>
                                <w:szCs w:val="18"/>
                                <w:lang w:val="en-GB"/>
                              </w:rPr>
                              <w:t xml:space="preserve"> if the UE is configured with Rel-17 TCI in any CC in a band</w:t>
                            </w:r>
                          </w:p>
                          <w:p w14:paraId="03571B71" w14:textId="01E5D187" w:rsidR="00A37811" w:rsidRPr="000524FE" w:rsidRDefault="000524FE" w:rsidP="000524FE">
                            <w:pPr>
                              <w:jc w:val="both"/>
                              <w:rPr>
                                <w:rFonts w:ascii="Times" w:eastAsia="Batang" w:hAnsi="Times" w:cs="Times"/>
                                <w:szCs w:val="18"/>
                                <w:lang w:val="en-GB"/>
                              </w:rPr>
                            </w:pPr>
                            <w:r w:rsidRPr="000524FE">
                              <w:rPr>
                                <w:rFonts w:ascii="Times" w:eastAsia="Batang" w:hAnsi="Times" w:cs="Times"/>
                                <w:szCs w:val="18"/>
                                <w:lang w:val="en-GB"/>
                              </w:rPr>
                              <w:t>The CC list for Rel-16 multi-CC beam indication should not contain any CC configured with Rel-17 TCI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FF1CD1" id="Text Box 9" o:spid="_x0000_s1027"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" fillcolor="white [3201]" strokeweight=".5pt">
                <v:textbox style="mso-fit-shape-to-text:t">
                  <w:txbxContent>
                    <w:p w14:paraId="6D832A6B" w14:textId="77777777" w:rsidR="000524FE" w:rsidRPr="000524FE" w:rsidRDefault="000524FE" w:rsidP="000524FE">
                      <w:pPr>
                        <w:rPr>
                          <w:rFonts w:ascii="Times" w:eastAsia="Malgun Gothic" w:hAnsi="Times" w:cs="Times"/>
                          <w:b/>
                          <w:szCs w:val="18"/>
                          <w:highlight w:val="darkYellow"/>
                          <w:lang w:eastAsia="ko-KR"/>
                        </w:rPr>
                      </w:pPr>
                      <w:r w:rsidRPr="000524FE">
                        <w:rPr>
                          <w:rFonts w:ascii="Times" w:eastAsia="Batang" w:hAnsi="Times" w:cs="Times"/>
                          <w:b/>
                          <w:szCs w:val="18"/>
                          <w:highlight w:val="darkYellow"/>
                          <w:lang w:val="en-GB"/>
                        </w:rPr>
                        <w:t>Working Assumption</w:t>
                      </w:r>
                    </w:p>
                    <w:p w14:paraId="5BFF4454" w14:textId="77777777" w:rsidR="000524FE" w:rsidRPr="000524FE" w:rsidRDefault="000524FE" w:rsidP="000524FE">
                      <w:pPr>
                        <w:snapToGrid w:val="0"/>
                        <w:jc w:val="both"/>
                        <w:rPr>
                          <w:rFonts w:ascii="Times" w:eastAsia="Batang" w:hAnsi="Times" w:cs="Times"/>
                        </w:rPr>
                      </w:pPr>
                      <w:r w:rsidRPr="000524FE">
                        <w:rPr>
                          <w:rFonts w:ascii="Times" w:eastAsia="Batang" w:hAnsi="Times" w:cs="Times"/>
                          <w:szCs w:val="18"/>
                          <w:lang w:val="en-GB"/>
                        </w:rPr>
                        <w:t>The UE is not expected to be configured with Rel-15/Rel-16 TCI/</w:t>
                      </w:r>
                      <w:proofErr w:type="spellStart"/>
                      <w:r w:rsidRPr="000524FE">
                        <w:rPr>
                          <w:rFonts w:ascii="Times" w:eastAsia="Batang" w:hAnsi="Times" w:cs="Times"/>
                          <w:i/>
                          <w:szCs w:val="18"/>
                          <w:lang w:val="en-GB"/>
                        </w:rPr>
                        <w:t>SpatialRelationInfo</w:t>
                      </w:r>
                      <w:proofErr w:type="spellEnd"/>
                      <w:r w:rsidRPr="000524FE">
                        <w:rPr>
                          <w:rFonts w:ascii="Times" w:eastAsia="Batang" w:hAnsi="Times" w:cs="Times"/>
                          <w:szCs w:val="18"/>
                          <w:lang w:val="en-GB"/>
                        </w:rPr>
                        <w:t xml:space="preserve"> if the UE is configured with Rel-17 TCI in any CC in a band</w:t>
                      </w:r>
                    </w:p>
                    <w:p w14:paraId="03571B71" w14:textId="01E5D187" w:rsidR="00A37811" w:rsidRPr="000524FE" w:rsidRDefault="000524FE" w:rsidP="000524FE">
                      <w:pPr>
                        <w:jc w:val="both"/>
                        <w:rPr>
                          <w:rFonts w:ascii="Times" w:eastAsia="Batang" w:hAnsi="Times" w:cs="Times"/>
                          <w:szCs w:val="18"/>
                          <w:lang w:val="en-GB"/>
                        </w:rPr>
                      </w:pPr>
                      <w:r w:rsidRPr="000524FE">
                        <w:rPr>
                          <w:rFonts w:ascii="Times" w:eastAsia="Batang" w:hAnsi="Times" w:cs="Times"/>
                          <w:szCs w:val="18"/>
                          <w:lang w:val="en-GB"/>
                        </w:rPr>
                        <w:t>The CC list for Rel-16 multi-CC beam indication should not contain any CC configured with Rel-17 TCI</w:t>
                      </w:r>
                    </w:p>
                  </w:txbxContent>
                </v:textbox>
                <w10:anchorlock/>
              </v:shape>
            </w:pict>
          </mc:Fallback>
        </mc:AlternateContent>
      </w:r>
    </w:p>
    <w:p w14:paraId="6E520FB5" w14:textId="158D9D4F" w:rsidR="000524FE" w:rsidRDefault="00BC2D0A" w:rsidP="00CA6C2B">
      <w:pPr>
        <w:rPr>
          <w:lang w:val="en-GB" w:eastAsia="ja-JP"/>
        </w:rPr>
      </w:pPr>
      <w:r>
        <w:rPr>
          <w:lang w:val="en-GB" w:eastAsia="ja-JP"/>
        </w:rPr>
        <w:t xml:space="preserve">We propose to </w:t>
      </w:r>
      <w:r w:rsidR="00CA33F3">
        <w:rPr>
          <w:lang w:val="en-GB" w:eastAsia="ja-JP"/>
        </w:rPr>
        <w:t xml:space="preserve">confirm the </w:t>
      </w:r>
      <w:r w:rsidR="00442CE5">
        <w:rPr>
          <w:lang w:val="en-GB" w:eastAsia="ja-JP"/>
        </w:rPr>
        <w:t xml:space="preserve">working assumption, </w:t>
      </w:r>
      <w:proofErr w:type="gramStart"/>
      <w:r w:rsidR="00442CE5">
        <w:rPr>
          <w:lang w:val="en-GB" w:eastAsia="ja-JP"/>
        </w:rPr>
        <w:t>with the exception of</w:t>
      </w:r>
      <w:proofErr w:type="gramEnd"/>
      <w:r w:rsidR="00442CE5">
        <w:rPr>
          <w:lang w:val="en-GB" w:eastAsia="ja-JP"/>
        </w:rPr>
        <w:t xml:space="preserve"> spatial relations for positioning:</w:t>
      </w:r>
    </w:p>
    <w:p w14:paraId="616453F1" w14:textId="3077E469" w:rsidR="000524FE" w:rsidRPr="001B3009" w:rsidRDefault="00442CE5" w:rsidP="00CA6C2B">
      <w:pPr>
        <w:pStyle w:val="Proposal"/>
        <w:rPr>
          <w:lang w:val="en-GB" w:eastAsia="ja-JP"/>
        </w:rPr>
      </w:pPr>
      <w:bookmarkStart w:id="4" w:name="_Toc95748526"/>
      <w:r w:rsidRPr="00442CE5">
        <w:rPr>
          <w:lang w:val="en-GB" w:eastAsia="ja-JP"/>
        </w:rPr>
        <w:t>The UE is not expected to be configured with Rel-15/Rel-16 TCI/</w:t>
      </w:r>
      <w:proofErr w:type="spellStart"/>
      <w:r w:rsidRPr="00442CE5">
        <w:rPr>
          <w:lang w:val="en-GB" w:eastAsia="ja-JP"/>
        </w:rPr>
        <w:t>SpatialRelationInfo</w:t>
      </w:r>
      <w:proofErr w:type="spellEnd"/>
      <w:r w:rsidRPr="00442CE5">
        <w:rPr>
          <w:lang w:val="en-GB" w:eastAsia="ja-JP"/>
        </w:rPr>
        <w:t>/PUCCH-</w:t>
      </w:r>
      <w:proofErr w:type="spellStart"/>
      <w:r w:rsidRPr="00442CE5">
        <w:rPr>
          <w:lang w:val="en-GB" w:eastAsia="ja-JP"/>
        </w:rPr>
        <w:t>SpatialRelationInfo</w:t>
      </w:r>
      <w:proofErr w:type="spellEnd"/>
      <w:r w:rsidRPr="00442CE5">
        <w:rPr>
          <w:lang w:val="en-GB" w:eastAsia="ja-JP"/>
        </w:rPr>
        <w:t xml:space="preserve"> (except </w:t>
      </w:r>
      <w:proofErr w:type="spellStart"/>
      <w:r w:rsidRPr="00442CE5">
        <w:rPr>
          <w:lang w:val="en-GB" w:eastAsia="ja-JP"/>
        </w:rPr>
        <w:t>spatialRelationInfoPos</w:t>
      </w:r>
      <w:proofErr w:type="spellEnd"/>
      <w:r w:rsidRPr="00442CE5">
        <w:rPr>
          <w:lang w:val="en-GB" w:eastAsia="ja-JP"/>
        </w:rPr>
        <w:t>) if the UE is configured with Rel-17 TCI in any CC in a band</w:t>
      </w:r>
      <w:bookmarkEnd w:id="4"/>
    </w:p>
    <w:p w14:paraId="3135A74C" w14:textId="74147F84" w:rsidR="002D012D" w:rsidRDefault="002D012D" w:rsidP="002D012D">
      <w:pPr>
        <w:pStyle w:val="Heading3"/>
      </w:pPr>
      <w:r>
        <w:t>2.1.3</w:t>
      </w:r>
      <w:r>
        <w:tab/>
      </w:r>
      <w:r w:rsidR="007C712C">
        <w:t xml:space="preserve">TCI state activation </w:t>
      </w:r>
      <w:r>
        <w:t>for SRS resources not sharing the indicated TCI</w:t>
      </w:r>
    </w:p>
    <w:p w14:paraId="0F7FF77F" w14:textId="03EA77E5" w:rsidR="001B3009" w:rsidRDefault="001B3009" w:rsidP="001B3009">
      <w:pPr>
        <w:rPr>
          <w:lang w:val="en-GB" w:eastAsia="ja-JP"/>
        </w:rPr>
      </w:pPr>
      <w:r w:rsidRPr="000246B8">
        <w:rPr>
          <w:lang w:val="en-GB" w:eastAsia="ja-JP"/>
        </w:rPr>
        <w:t>In RAN1#10</w:t>
      </w:r>
      <w:r>
        <w:rPr>
          <w:lang w:val="en-GB" w:eastAsia="ja-JP"/>
        </w:rPr>
        <w:t>7</w:t>
      </w:r>
      <w:r w:rsidRPr="000246B8">
        <w:rPr>
          <w:lang w:val="en-GB" w:eastAsia="ja-JP"/>
        </w:rPr>
        <w:t xml:space="preserve">-e, the following </w:t>
      </w:r>
      <w:r>
        <w:rPr>
          <w:lang w:val="en-GB" w:eastAsia="ja-JP"/>
        </w:rPr>
        <w:t xml:space="preserve">agreement </w:t>
      </w:r>
      <w:r w:rsidRPr="000246B8">
        <w:rPr>
          <w:lang w:val="en-GB" w:eastAsia="ja-JP"/>
        </w:rPr>
        <w:t xml:space="preserve">was </w:t>
      </w:r>
      <w:r>
        <w:rPr>
          <w:lang w:val="en-GB" w:eastAsia="ja-JP"/>
        </w:rPr>
        <w:t>reached</w:t>
      </w:r>
      <w:r w:rsidRPr="000246B8">
        <w:rPr>
          <w:lang w:val="en-GB" w:eastAsia="ja-JP"/>
        </w:rPr>
        <w:t xml:space="preserve">: </w:t>
      </w:r>
    </w:p>
    <w:p w14:paraId="385AA3B4" w14:textId="4F6E2200" w:rsidR="001B3009" w:rsidRDefault="001B3009" w:rsidP="001B3009">
      <w:pPr>
        <w:rPr>
          <w:lang w:val="x-none" w:eastAsia="ja-JP"/>
        </w:rPr>
      </w:pPr>
      <w:r w:rsidRPr="000246B8">
        <w:rPr>
          <w:noProof/>
        </w:rPr>
        <w:lastRenderedPageBreak/>
        <mc:AlternateContent>
          <mc:Choice Requires="wps">
            <w:drawing>
              <wp:inline distT="0" distB="0" distL="0" distR="0" wp14:anchorId="0847146C" wp14:editId="29E73985">
                <wp:extent cx="6120765" cy="1804168"/>
                <wp:effectExtent l="0" t="0" r="13335" b="17145"/>
                <wp:docPr id="6" name="Text Box 6"/>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09A4C50B" w14:textId="77777777" w:rsidR="001B3009" w:rsidRPr="00D4038F" w:rsidRDefault="001B3009" w:rsidP="001B3009">
                            <w:pPr>
                              <w:spacing w:after="0"/>
                              <w:rPr>
                                <w:rFonts w:ascii="Times" w:eastAsia="Malgun Gothic" w:hAnsi="Times" w:cs="Times"/>
                                <w:b/>
                                <w:szCs w:val="20"/>
                                <w:lang w:eastAsia="ko-KR"/>
                              </w:rPr>
                            </w:pPr>
                            <w:r w:rsidRPr="00D4038F">
                              <w:rPr>
                                <w:rFonts w:ascii="Times" w:eastAsia="Batang" w:hAnsi="Times" w:cs="Times"/>
                                <w:b/>
                                <w:szCs w:val="20"/>
                                <w:highlight w:val="green"/>
                                <w:lang w:val="en-GB"/>
                              </w:rPr>
                              <w:t>Agreement</w:t>
                            </w:r>
                          </w:p>
                          <w:p w14:paraId="1127E41B" w14:textId="77777777" w:rsidR="001B3009" w:rsidRPr="00D4038F" w:rsidRDefault="001B3009" w:rsidP="001B3009">
                            <w:pPr>
                              <w:snapToGrid w:val="0"/>
                              <w:spacing w:after="0"/>
                              <w:jc w:val="both"/>
                              <w:rPr>
                                <w:rFonts w:ascii="Times" w:eastAsia="Batang" w:hAnsi="Times" w:cs="Times"/>
                                <w:szCs w:val="20"/>
                              </w:rPr>
                            </w:pPr>
                            <w:r w:rsidRPr="00D4038F">
                              <w:rPr>
                                <w:rFonts w:ascii="Times" w:eastAsia="Batang" w:hAnsi="Times" w:cs="Times"/>
                                <w:szCs w:val="20"/>
                                <w:lang w:val="en-GB"/>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4266A09F" w14:textId="77777777" w:rsidR="001B3009" w:rsidRPr="00D4038F" w:rsidRDefault="001B3009" w:rsidP="001B3009">
                            <w:pPr>
                              <w:numPr>
                                <w:ilvl w:val="0"/>
                                <w:numId w:val="38"/>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This feature does not require a new type of source RS on top of the ones supported for UL TCI and joint DL /UL TCI  </w:t>
                            </w:r>
                          </w:p>
                          <w:p w14:paraId="762CD22B" w14:textId="77777777" w:rsidR="001B3009" w:rsidRPr="00D4038F" w:rsidRDefault="001B3009" w:rsidP="001B3009">
                            <w:pPr>
                              <w:numPr>
                                <w:ilvl w:val="1"/>
                                <w:numId w:val="39"/>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Note: This doesn’t preclude the content of pending proposal 1.E (on CSI -RS for CSI as QCL Type-A/D source RS) to be agreed in the future</w:t>
                            </w:r>
                          </w:p>
                          <w:p w14:paraId="3087B6BB" w14:textId="77777777" w:rsidR="001B3009" w:rsidRPr="00D4038F" w:rsidRDefault="001B3009" w:rsidP="001B3009">
                            <w:pPr>
                              <w:numPr>
                                <w:ilvl w:val="0"/>
                                <w:numId w:val="40"/>
                              </w:numPr>
                              <w:snapToGrid w:val="0"/>
                              <w:spacing w:after="0" w:line="240" w:lineRule="auto"/>
                              <w:rPr>
                                <w:rFonts w:ascii="Times" w:eastAsia="SimSun" w:hAnsi="Times" w:cs="Times"/>
                                <w:szCs w:val="20"/>
                                <w:lang w:eastAsia="zh-CN"/>
                              </w:rPr>
                            </w:pPr>
                            <w:r w:rsidRPr="00D4038F">
                              <w:rPr>
                                <w:rFonts w:ascii="Times" w:eastAsia="SimSun" w:hAnsi="Times" w:cs="Times"/>
                                <w:szCs w:val="20"/>
                                <w:lang w:val="en-GB" w:eastAsia="zh-CN"/>
                              </w:rPr>
                              <w:t>Note: This does not imply that DL and UL TCI state pools are separate or shared for separate DL /UL TCI (this issue is up to RAN2)</w:t>
                            </w:r>
                          </w:p>
                          <w:p w14:paraId="6C168E36" w14:textId="715802A1" w:rsidR="001B3009" w:rsidRPr="001B3009" w:rsidRDefault="001B3009" w:rsidP="001B3009">
                            <w:pPr>
                              <w:numPr>
                                <w:ilvl w:val="0"/>
                                <w:numId w:val="40"/>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Note: A Rel-17 UE is not required to support both this feature and optional Rel-16 features of SRS spatial relation info within a same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47146C" id="Text Box 6" o:spid="_x0000_s1028"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" fillcolor="white [3201]" strokeweight=".5pt">
                <v:textbox style="mso-fit-shape-to-text:t">
                  <w:txbxContent>
                    <w:p w14:paraId="09A4C50B" w14:textId="77777777" w:rsidR="001B3009" w:rsidRPr="00D4038F" w:rsidRDefault="001B3009" w:rsidP="001B3009">
                      <w:pPr>
                        <w:spacing w:after="0"/>
                        <w:rPr>
                          <w:rFonts w:ascii="Times" w:eastAsia="Malgun Gothic" w:hAnsi="Times" w:cs="Times"/>
                          <w:b/>
                          <w:szCs w:val="20"/>
                          <w:lang w:eastAsia="ko-KR"/>
                        </w:rPr>
                      </w:pPr>
                      <w:r w:rsidRPr="00D4038F">
                        <w:rPr>
                          <w:rFonts w:ascii="Times" w:eastAsia="Batang" w:hAnsi="Times" w:cs="Times"/>
                          <w:b/>
                          <w:szCs w:val="20"/>
                          <w:highlight w:val="green"/>
                          <w:lang w:val="en-GB"/>
                        </w:rPr>
                        <w:t>Agreement</w:t>
                      </w:r>
                    </w:p>
                    <w:p w14:paraId="1127E41B" w14:textId="77777777" w:rsidR="001B3009" w:rsidRPr="00D4038F" w:rsidRDefault="001B3009" w:rsidP="001B3009">
                      <w:pPr>
                        <w:snapToGrid w:val="0"/>
                        <w:spacing w:after="0"/>
                        <w:jc w:val="both"/>
                        <w:rPr>
                          <w:rFonts w:ascii="Times" w:eastAsia="Batang" w:hAnsi="Times" w:cs="Times"/>
                          <w:szCs w:val="20"/>
                        </w:rPr>
                      </w:pPr>
                      <w:r w:rsidRPr="00D4038F">
                        <w:rPr>
                          <w:rFonts w:ascii="Times" w:eastAsia="Batang" w:hAnsi="Times" w:cs="Times"/>
                          <w:szCs w:val="20"/>
                          <w:lang w:val="en-GB"/>
                        </w:rPr>
                        <w:t>On Rel-17 unified TCI framework, 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4266A09F" w14:textId="77777777" w:rsidR="001B3009" w:rsidRPr="00D4038F" w:rsidRDefault="001B3009" w:rsidP="001B3009">
                      <w:pPr>
                        <w:numPr>
                          <w:ilvl w:val="0"/>
                          <w:numId w:val="38"/>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This feature does not require a new type of source RS on top of the ones supported for UL TCI and joint DL /UL TCI  </w:t>
                      </w:r>
                    </w:p>
                    <w:p w14:paraId="762CD22B" w14:textId="77777777" w:rsidR="001B3009" w:rsidRPr="00D4038F" w:rsidRDefault="001B3009" w:rsidP="001B3009">
                      <w:pPr>
                        <w:numPr>
                          <w:ilvl w:val="1"/>
                          <w:numId w:val="39"/>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Note: This doesn’t preclude the content of pending proposal 1.E (on CSI -RS for CSI as QCL Type-A/D source RS) to be agreed in the future</w:t>
                      </w:r>
                    </w:p>
                    <w:p w14:paraId="3087B6BB" w14:textId="77777777" w:rsidR="001B3009" w:rsidRPr="00D4038F" w:rsidRDefault="001B3009" w:rsidP="001B3009">
                      <w:pPr>
                        <w:numPr>
                          <w:ilvl w:val="0"/>
                          <w:numId w:val="40"/>
                        </w:numPr>
                        <w:snapToGrid w:val="0"/>
                        <w:spacing w:after="0" w:line="240" w:lineRule="auto"/>
                        <w:rPr>
                          <w:rFonts w:ascii="Times" w:eastAsia="SimSun" w:hAnsi="Times" w:cs="Times"/>
                          <w:szCs w:val="20"/>
                          <w:lang w:eastAsia="zh-CN"/>
                        </w:rPr>
                      </w:pPr>
                      <w:r w:rsidRPr="00D4038F">
                        <w:rPr>
                          <w:rFonts w:ascii="Times" w:eastAsia="SimSun" w:hAnsi="Times" w:cs="Times"/>
                          <w:szCs w:val="20"/>
                          <w:lang w:val="en-GB" w:eastAsia="zh-CN"/>
                        </w:rPr>
                        <w:t>Note: This does not imply that DL and UL TCI state pools are separate or shared for separate DL /UL TCI (this issue is up to RAN2)</w:t>
                      </w:r>
                    </w:p>
                    <w:p w14:paraId="6C168E36" w14:textId="715802A1" w:rsidR="001B3009" w:rsidRPr="001B3009" w:rsidRDefault="001B3009" w:rsidP="001B3009">
                      <w:pPr>
                        <w:numPr>
                          <w:ilvl w:val="0"/>
                          <w:numId w:val="40"/>
                        </w:numPr>
                        <w:snapToGrid w:val="0"/>
                        <w:spacing w:after="0" w:line="240" w:lineRule="auto"/>
                        <w:rPr>
                          <w:rFonts w:ascii="Times" w:eastAsia="SimSun" w:hAnsi="Times" w:cs="Times"/>
                          <w:szCs w:val="20"/>
                          <w:lang w:eastAsia="zh-CN"/>
                        </w:rPr>
                      </w:pPr>
                      <w:r w:rsidRPr="00D4038F">
                        <w:rPr>
                          <w:rFonts w:ascii="Times" w:eastAsia="SimSun" w:hAnsi="Times" w:cs="Times"/>
                          <w:szCs w:val="20"/>
                          <w:lang w:eastAsia="zh-CN"/>
                        </w:rPr>
                        <w:t>Note: A Rel-17 UE is not required to support both this feature and optional Rel-16 features of SRS spatial relation info within a same band</w:t>
                      </w:r>
                    </w:p>
                  </w:txbxContent>
                </v:textbox>
                <w10:anchorlock/>
              </v:shape>
            </w:pict>
          </mc:Fallback>
        </mc:AlternateContent>
      </w:r>
    </w:p>
    <w:p w14:paraId="18A6AAA5" w14:textId="04EF21AE" w:rsidR="00AA7DC1" w:rsidRDefault="00F540A9" w:rsidP="001B3009">
      <w:pPr>
        <w:rPr>
          <w:lang w:val="sv-SE" w:eastAsia="ja-JP"/>
        </w:rPr>
      </w:pPr>
      <w:r>
        <w:rPr>
          <w:lang w:val="sv-SE" w:eastAsia="ja-JP"/>
        </w:rPr>
        <w:t xml:space="preserve">In contrast to the DL RSs, there is no agreement how an SRS resource is configured with a Rel-17 UL, or joint TCI state. This issue was discussed during RAN1#107-e, </w:t>
      </w:r>
      <w:r w:rsidR="00AA7DC1">
        <w:rPr>
          <w:lang w:val="sv-SE" w:eastAsia="ja-JP"/>
        </w:rPr>
        <w:t>and the general understanding was that Rel-15/16 mechanisms should be used. However, due to unclarities related to power control, no agreement was reached.</w:t>
      </w:r>
    </w:p>
    <w:p w14:paraId="197C4F16" w14:textId="37D68E3D" w:rsidR="00AA7DC1" w:rsidRDefault="00AA7DC1" w:rsidP="001B3009">
      <w:pPr>
        <w:rPr>
          <w:lang w:val="en-GB" w:eastAsia="ja-JP"/>
        </w:rPr>
      </w:pPr>
      <w:r>
        <w:rPr>
          <w:lang w:val="en-GB" w:eastAsia="ja-JP"/>
        </w:rPr>
        <w:t>Power control parameters</w:t>
      </w:r>
      <w:r w:rsidR="00DA59E1">
        <w:rPr>
          <w:lang w:val="en-GB" w:eastAsia="ja-JP"/>
        </w:rPr>
        <w:t>, including the pathloss RS,</w:t>
      </w:r>
      <w:r>
        <w:rPr>
          <w:lang w:val="en-GB" w:eastAsia="ja-JP"/>
        </w:rPr>
        <w:t xml:space="preserve"> for SRS can be associated with the Rel-17 TCI state. This is the desired behaviour for SRS for codebook- and non-codebook-based transmission, as well as for SRS for antenna switching</w:t>
      </w:r>
      <w:r w:rsidR="00DA59E1">
        <w:rPr>
          <w:lang w:val="en-GB" w:eastAsia="ja-JP"/>
        </w:rPr>
        <w:t>.</w:t>
      </w:r>
      <w:r w:rsidR="007C2A97">
        <w:rPr>
          <w:lang w:val="en-GB" w:eastAsia="ja-JP"/>
        </w:rPr>
        <w:t xml:space="preserve"> However, in some cases it is preferable that all SRS resources in the same SRS resource set are transmitted using the same power. To achieve this, the UE cannot use different PC parameters for different SRS resources if different TCI states are activated for the SRS resources – another configuration mechanism must be used. It is also not possible to configure the same PC parameters </w:t>
      </w:r>
      <w:r w:rsidR="00AD162C">
        <w:rPr>
          <w:lang w:val="en-GB" w:eastAsia="ja-JP"/>
        </w:rPr>
        <w:t xml:space="preserve">(including pathloss RS) </w:t>
      </w:r>
      <w:r w:rsidR="007C2A97">
        <w:rPr>
          <w:lang w:val="en-GB" w:eastAsia="ja-JP"/>
        </w:rPr>
        <w:t>for SRS in different TCI states, since this would make the normal mode of operation impossible</w:t>
      </w:r>
      <w:r w:rsidR="007E15B1">
        <w:rPr>
          <w:lang w:val="en-GB" w:eastAsia="ja-JP"/>
        </w:rPr>
        <w:t>:</w:t>
      </w:r>
    </w:p>
    <w:p w14:paraId="55062C7C" w14:textId="21E9C473" w:rsidR="001B3009" w:rsidRPr="007E15B1" w:rsidRDefault="007E15B1" w:rsidP="001B3009">
      <w:pPr>
        <w:pStyle w:val="Observation"/>
        <w:rPr>
          <w:lang w:val="en-GB"/>
        </w:rPr>
      </w:pPr>
      <w:bookmarkStart w:id="5" w:name="_Toc95748520"/>
      <w:r>
        <w:rPr>
          <w:lang w:val="en-GB"/>
        </w:rPr>
        <w:t>Associating the same pathloss RS in multiple TCI states would make the normal mode of operation impossible.</w:t>
      </w:r>
      <w:bookmarkEnd w:id="5"/>
    </w:p>
    <w:p w14:paraId="1AE5042D" w14:textId="5CC2A010" w:rsidR="00C04C78" w:rsidRPr="00C04C78" w:rsidRDefault="00C80791" w:rsidP="001B3009">
      <w:pPr>
        <w:rPr>
          <w:lang w:val="en-GB" w:eastAsia="ja-JP"/>
        </w:rPr>
      </w:pPr>
      <w:r>
        <w:rPr>
          <w:lang w:val="en-GB" w:eastAsia="ja-JP"/>
        </w:rPr>
        <w:t xml:space="preserve">The use case for configuring a Rel-17 TCI state using Rel-15/16 mechanisms is somewhat unclear. For usage codebook, non-codebook or antenna switching, it is reasonable that the SRS transmission follows the indicated TCI. For usage beam management (SRS beam sweeping), it would seem reasonable not to configure any TCI state at all: instead, the selection of Tx beam would be up to the UE. However, for completeness, </w:t>
      </w:r>
      <w:r w:rsidR="00C04C78">
        <w:rPr>
          <w:lang w:val="en-GB" w:eastAsia="ja-JP"/>
        </w:rPr>
        <w:t xml:space="preserve">it may be appropriate to aim for a similar level of functionality as in Rel-15/16. To achieve this, we have the following two proposals </w:t>
      </w:r>
    </w:p>
    <w:p w14:paraId="4BE5AB65" w14:textId="3D1B88D6" w:rsidR="00C04C78" w:rsidRPr="00DA59E1" w:rsidRDefault="00C04C78" w:rsidP="00C04C78">
      <w:pPr>
        <w:pStyle w:val="Proposal"/>
        <w:rPr>
          <w:lang w:val="en-GB" w:eastAsia="ja-JP"/>
        </w:rPr>
      </w:pPr>
      <w:bookmarkStart w:id="6" w:name="_Toc95748527"/>
      <w:r>
        <w:t>For any SRS resource set that does not share the same indicated Rel-17 TCI state(s) as dynamic-grant/configured-grant based PUSCH and all of dedicated PUCCH resources, but can be configured as a target signal of a Rel-17 TCI state, Rel-17 mechanism(s) which reuse mechanisms similar to the Rel-15/16 spatial relation info update signaling/configuration design(s) are used to update/configure such SRS(s) with Rel-17 TCI state.</w:t>
      </w:r>
      <w:bookmarkEnd w:id="6"/>
    </w:p>
    <w:p w14:paraId="645D48F1" w14:textId="76FD3B29" w:rsidR="00DA59E1" w:rsidRDefault="00DA59E1" w:rsidP="00DA59E1">
      <w:pPr>
        <w:pStyle w:val="BodyText"/>
        <w:rPr>
          <w:lang w:val="en-GB" w:eastAsia="ja-JP"/>
        </w:rPr>
      </w:pPr>
      <w:r>
        <w:rPr>
          <w:lang w:val="en-GB" w:eastAsia="ja-JP"/>
        </w:rPr>
        <w:t>This would mean that Rel-17 TCI states can be RRC-configured in an SRS resource. In addition, there will be a need to define MAC CEs to update the spatial relation of a semi-persistent SRS.</w:t>
      </w:r>
    </w:p>
    <w:p w14:paraId="6BD38A21" w14:textId="7EA46133" w:rsidR="00DA59E1" w:rsidRDefault="00DA59E1" w:rsidP="00DA59E1">
      <w:pPr>
        <w:pStyle w:val="BodyText"/>
        <w:rPr>
          <w:lang w:val="en-GB" w:eastAsia="ja-JP"/>
        </w:rPr>
      </w:pPr>
      <w:r>
        <w:rPr>
          <w:lang w:val="en-GB" w:eastAsia="ja-JP"/>
        </w:rPr>
        <w:t>To handle the power control parameters, we propose</w:t>
      </w:r>
    </w:p>
    <w:p w14:paraId="4CED29F3" w14:textId="49DBD679" w:rsidR="00C04C78" w:rsidRDefault="00C04C78" w:rsidP="00C04C78">
      <w:pPr>
        <w:pStyle w:val="Proposal"/>
        <w:rPr>
          <w:lang w:val="en-GB" w:eastAsia="ja-JP"/>
        </w:rPr>
      </w:pPr>
      <w:bookmarkStart w:id="7" w:name="_Toc95748528"/>
      <w:r>
        <w:rPr>
          <w:lang w:val="en-GB" w:eastAsia="ja-JP"/>
        </w:rPr>
        <w:t xml:space="preserve">The power control parameters of an SRS resource in an SRS resource set that does not share </w:t>
      </w:r>
      <w:r>
        <w:t xml:space="preserve">the same indicated Rel-17 TCI state(s) as dynamic-grant/configured-grant based PUSCH and </w:t>
      </w:r>
      <w:proofErr w:type="gramStart"/>
      <w:r>
        <w:t>all of</w:t>
      </w:r>
      <w:proofErr w:type="gramEnd"/>
      <w:r>
        <w:t xml:space="preserve"> dedicated PUCCH resources are provided using the Rel-15/16 power control parameters in the SRS resource set.</w:t>
      </w:r>
      <w:bookmarkEnd w:id="7"/>
      <w:r>
        <w:t xml:space="preserve"> </w:t>
      </w:r>
    </w:p>
    <w:p w14:paraId="11BFB647" w14:textId="1BBFEF61" w:rsidR="00C04C78" w:rsidRPr="00C04C78" w:rsidRDefault="00C04C78" w:rsidP="00C04C78">
      <w:pPr>
        <w:pStyle w:val="BodyText"/>
        <w:rPr>
          <w:lang w:val="en-GB" w:eastAsia="ja-JP"/>
        </w:rPr>
      </w:pPr>
      <w:r>
        <w:rPr>
          <w:lang w:val="en-GB" w:eastAsia="ja-JP"/>
        </w:rPr>
        <w:t xml:space="preserve">If it is not possible to agree on mechanisms to explicitly provide UL TCI states to SRS resource that do not share the indicated TCI, </w:t>
      </w:r>
      <w:r w:rsidR="00937189">
        <w:rPr>
          <w:lang w:val="en-GB" w:eastAsia="ja-JP"/>
        </w:rPr>
        <w:t>it would be acceptable to let all SRS resources share the indicated TCI.</w:t>
      </w:r>
    </w:p>
    <w:p w14:paraId="725FED8A" w14:textId="22D8B96E" w:rsidR="002D012D" w:rsidRDefault="002D012D" w:rsidP="002D012D">
      <w:pPr>
        <w:pStyle w:val="Heading3"/>
      </w:pPr>
      <w:r w:rsidRPr="004A4B33">
        <w:t>2.1.4</w:t>
      </w:r>
      <w:r w:rsidRPr="004A4B33">
        <w:tab/>
        <w:t>TCI state activation for PDCCHs not sharing the indicated TCI</w:t>
      </w:r>
    </w:p>
    <w:p w14:paraId="6F4E876D" w14:textId="37C136AF" w:rsidR="00A1664D" w:rsidRPr="00A1664D" w:rsidRDefault="00A1664D" w:rsidP="00A1664D">
      <w:pPr>
        <w:rPr>
          <w:lang w:val="en-GB" w:eastAsia="ja-JP"/>
        </w:rPr>
      </w:pPr>
      <w:r w:rsidRPr="000246B8">
        <w:rPr>
          <w:lang w:val="en-GB" w:eastAsia="ja-JP"/>
        </w:rPr>
        <w:t>In RAN#10</w:t>
      </w:r>
      <w:r>
        <w:rPr>
          <w:lang w:val="en-GB" w:eastAsia="ja-JP"/>
        </w:rPr>
        <w:t>7</w:t>
      </w:r>
      <w:r w:rsidRPr="000246B8">
        <w:rPr>
          <w:lang w:val="en-GB" w:eastAsia="ja-JP"/>
        </w:rPr>
        <w:t>-e, the following agreement was made:</w:t>
      </w:r>
    </w:p>
    <w:p w14:paraId="7155B8CC" w14:textId="77777777" w:rsidR="00A1664D" w:rsidRPr="0071377A" w:rsidRDefault="00A1664D" w:rsidP="00A1664D">
      <w:pPr>
        <w:pStyle w:val="BodyText"/>
      </w:pPr>
      <w:r w:rsidRPr="0071377A">
        <w:rPr>
          <w:noProof/>
        </w:rPr>
        <w:lastRenderedPageBreak/>
        <mc:AlternateContent>
          <mc:Choice Requires="wps">
            <w:drawing>
              <wp:inline distT="0" distB="0" distL="0" distR="0" wp14:anchorId="009F581C" wp14:editId="7C03D028">
                <wp:extent cx="6146359" cy="771276"/>
                <wp:effectExtent l="0" t="0" r="26035" b="24765"/>
                <wp:docPr id="7" name="Text Box 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11D6516" w14:textId="77777777" w:rsidR="00A1664D" w:rsidRPr="00D44920" w:rsidRDefault="00A1664D" w:rsidP="00A1664D">
                            <w:pPr>
                              <w:snapToGrid w:val="0"/>
                              <w:spacing w:after="0"/>
                              <w:rPr>
                                <w:rFonts w:ascii="Times" w:eastAsia="Batang" w:hAnsi="Times" w:cs="Times New Roman"/>
                                <w:b/>
                                <w:color w:val="000000"/>
                                <w:szCs w:val="28"/>
                                <w:highlight w:val="green"/>
                                <w:lang w:val="en-GB" w:eastAsia="x-none"/>
                              </w:rPr>
                            </w:pPr>
                            <w:r w:rsidRPr="00D44920">
                              <w:rPr>
                                <w:rFonts w:ascii="Times" w:eastAsia="Batang" w:hAnsi="Times" w:cs="Times New Roman"/>
                                <w:b/>
                                <w:color w:val="000000"/>
                                <w:szCs w:val="28"/>
                                <w:highlight w:val="green"/>
                                <w:lang w:val="en-GB" w:eastAsia="x-none"/>
                              </w:rPr>
                              <w:t>Agreement</w:t>
                            </w:r>
                          </w:p>
                          <w:p w14:paraId="0FBBF1A9" w14:textId="77777777" w:rsidR="00A1664D" w:rsidRPr="00D44920" w:rsidRDefault="00A1664D" w:rsidP="00A1664D">
                            <w:pPr>
                              <w:snapToGrid w:val="0"/>
                              <w:spacing w:after="0"/>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For Rel-17 unified TCI framework, on applying the indicated Rel-17 TCI state to PDCCH reception and the respective PDSCH reception:</w:t>
                            </w:r>
                          </w:p>
                          <w:p w14:paraId="38328CD4" w14:textId="77777777" w:rsidR="00A1664D" w:rsidRPr="00D44920" w:rsidRDefault="00A1664D" w:rsidP="00A1664D">
                            <w:pPr>
                              <w:numPr>
                                <w:ilvl w:val="0"/>
                                <w:numId w:val="23"/>
                              </w:numPr>
                              <w:snapToGrid w:val="0"/>
                              <w:spacing w:after="0" w:line="240" w:lineRule="auto"/>
                              <w:ind w:left="760"/>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For discussion purposes, define as follows:</w:t>
                            </w:r>
                          </w:p>
                          <w:p w14:paraId="06516FD8"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‘CORESET A’: A CORESET other than CORESET#0 associated with only UE-dedicated reception on PDCCH in a CC, comprising CORESETs in association with: </w:t>
                            </w:r>
                          </w:p>
                          <w:p w14:paraId="7D3C683D"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[USS and/or CSS Type 3]</w:t>
                            </w:r>
                          </w:p>
                          <w:p w14:paraId="1177E3E6"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 B’:  A CORESET other than CORESET#0 associated with only non-UE-dedicated reception on PDCCH in a CC, comprising CORESETs in association with:</w:t>
                            </w:r>
                          </w:p>
                          <w:p w14:paraId="3F6EAC39"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[CSS or CSS other than Type 3]</w:t>
                            </w:r>
                          </w:p>
                          <w:p w14:paraId="13D1CCFE"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 C’: A CORESET other than CORESET#0 associated with both UE-dedicated and non-UE-dedicated reception on PDCCH in a CC</w:t>
                            </w:r>
                          </w:p>
                          <w:p w14:paraId="72B1EE48"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CORESET#0</w:t>
                            </w:r>
                          </w:p>
                          <w:p w14:paraId="2F0F4155" w14:textId="77777777" w:rsidR="00A1664D" w:rsidRPr="00D44920" w:rsidRDefault="00A1664D" w:rsidP="00A1664D">
                            <w:pPr>
                              <w:numPr>
                                <w:ilvl w:val="0"/>
                                <w:numId w:val="23"/>
                              </w:numPr>
                              <w:snapToGrid w:val="0"/>
                              <w:spacing w:after="0" w:line="240" w:lineRule="auto"/>
                              <w:ind w:left="760"/>
                              <w:rPr>
                                <w:rFonts w:ascii="Times" w:eastAsia="SimSun" w:hAnsi="Times" w:cs="Times New Roman"/>
                                <w:color w:val="000000"/>
                                <w:szCs w:val="28"/>
                                <w:lang w:val="en-GB" w:eastAsia="x-none"/>
                              </w:rPr>
                            </w:pPr>
                            <w:r w:rsidRPr="00D44920">
                              <w:rPr>
                                <w:rFonts w:ascii="Times" w:eastAsia="Batang" w:hAnsi="Times" w:cs="Times New Roman"/>
                                <w:color w:val="000000"/>
                                <w:szCs w:val="28"/>
                                <w:lang w:val="en-GB" w:eastAsia="x-none"/>
                              </w:rPr>
                              <w:t xml:space="preserve">For Rel-17 TCI state indication, support </w:t>
                            </w:r>
                            <w:r w:rsidRPr="00D44920">
                              <w:rPr>
                                <w:rFonts w:ascii="Times" w:eastAsia="SimSun" w:hAnsi="Times" w:cs="Times New Roman"/>
                                <w:color w:val="000000"/>
                                <w:szCs w:val="28"/>
                                <w:lang w:val="en-GB" w:eastAsia="x-none"/>
                              </w:rPr>
                              <w:t>per CORESET determination as follows:</w:t>
                            </w:r>
                          </w:p>
                          <w:p w14:paraId="774A3969"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For any PDCCH reception on a ‘CORESET A’ and the respective PDSCH reception, UE always applies the indicated Rel-17 TCI state.</w:t>
                            </w:r>
                          </w:p>
                          <w:p w14:paraId="758961AF"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For any PDCCH reception on a ‘CORESET B’ and the respective PDSCH reception, </w:t>
                            </w:r>
                            <w:proofErr w:type="gramStart"/>
                            <w:r w:rsidRPr="00D44920">
                              <w:rPr>
                                <w:rFonts w:ascii="Times" w:eastAsia="Batang" w:hAnsi="Times" w:cs="Times New Roman"/>
                                <w:szCs w:val="20"/>
                                <w:lang w:val="en-GB" w:eastAsia="x-none"/>
                              </w:rPr>
                              <w:t>whether or not</w:t>
                            </w:r>
                            <w:proofErr w:type="gramEnd"/>
                            <w:r w:rsidRPr="00D44920">
                              <w:rPr>
                                <w:rFonts w:ascii="Times" w:eastAsia="Batang" w:hAnsi="Times" w:cs="Times New Roman"/>
                                <w:szCs w:val="20"/>
                                <w:lang w:val="en-GB" w:eastAsia="x-none"/>
                              </w:rPr>
                              <w:t xml:space="preserve"> UE to apply the indicated Rel-17 TCI state associated with the serving cell is determined per CORESET by RRC</w:t>
                            </w:r>
                          </w:p>
                          <w:p w14:paraId="3275702F"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FFS: For intra-cell BM, whether CORESET C is supported or not </w:t>
                            </w:r>
                          </w:p>
                          <w:p w14:paraId="5E5D8D6B"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If CORESET C is supported, the TCI state of CORESET C</w:t>
                            </w:r>
                          </w:p>
                          <w:p w14:paraId="4607339D"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FFS: For inter-cell BM, whether CORESET C is supported or not </w:t>
                            </w:r>
                          </w:p>
                          <w:p w14:paraId="1D53DD89"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If CORESET C is supported, the TCI state of CORESET C</w:t>
                            </w:r>
                          </w:p>
                          <w:p w14:paraId="4C79A257" w14:textId="403D9A0A" w:rsidR="00A1664D" w:rsidRPr="00A1664D"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FFS: The TCI state of CORESET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9F581C" id="Text Box 7" o:spid="_x0000_s102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Ih3wx08CAACoBAAADgAAAAAAAAAAAAAAAAAuAgAAZHJzL2Uyb0RvYy54bWxQSwECLQAUAAYACAAA&#10;ACEAIgTC5twAAAAFAQAADwAAAAAAAAAAAAAAAACpBAAAZHJzL2Rvd25yZXYueG1sUEsFBgAAAAAE&#10;AAQA8wAAALIFAAAAAA==&#10;" fillcolor="white [3201]" strokeweight=".5pt">
                <v:textbox style="mso-fit-shape-to-text:t">
                  <w:txbxContent>
                    <w:p w14:paraId="711D6516" w14:textId="77777777" w:rsidR="00A1664D" w:rsidRPr="00D44920" w:rsidRDefault="00A1664D" w:rsidP="00A1664D">
                      <w:pPr>
                        <w:snapToGrid w:val="0"/>
                        <w:spacing w:after="0"/>
                        <w:rPr>
                          <w:rFonts w:ascii="Times" w:eastAsia="Batang" w:hAnsi="Times" w:cs="Times New Roman"/>
                          <w:b/>
                          <w:color w:val="000000"/>
                          <w:szCs w:val="28"/>
                          <w:highlight w:val="green"/>
                          <w:lang w:val="en-GB" w:eastAsia="x-none"/>
                        </w:rPr>
                      </w:pPr>
                      <w:r w:rsidRPr="00D44920">
                        <w:rPr>
                          <w:rFonts w:ascii="Times" w:eastAsia="Batang" w:hAnsi="Times" w:cs="Times New Roman"/>
                          <w:b/>
                          <w:color w:val="000000"/>
                          <w:szCs w:val="28"/>
                          <w:highlight w:val="green"/>
                          <w:lang w:val="en-GB" w:eastAsia="x-none"/>
                        </w:rPr>
                        <w:t>Agreement</w:t>
                      </w:r>
                    </w:p>
                    <w:p w14:paraId="0FBBF1A9" w14:textId="77777777" w:rsidR="00A1664D" w:rsidRPr="00D44920" w:rsidRDefault="00A1664D" w:rsidP="00A1664D">
                      <w:pPr>
                        <w:snapToGrid w:val="0"/>
                        <w:spacing w:after="0"/>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For Rel-17 unified TCI framework, on applying the indicated Rel-17 TCI state to PDCCH reception and the respective PDSCH reception:</w:t>
                      </w:r>
                    </w:p>
                    <w:p w14:paraId="38328CD4" w14:textId="77777777" w:rsidR="00A1664D" w:rsidRPr="00D44920" w:rsidRDefault="00A1664D" w:rsidP="00A1664D">
                      <w:pPr>
                        <w:numPr>
                          <w:ilvl w:val="0"/>
                          <w:numId w:val="23"/>
                        </w:numPr>
                        <w:snapToGrid w:val="0"/>
                        <w:spacing w:after="0" w:line="240" w:lineRule="auto"/>
                        <w:ind w:left="760"/>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For discussion purposes, define as follows:</w:t>
                      </w:r>
                    </w:p>
                    <w:p w14:paraId="06516FD8"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‘CORESET A’: A CORESET other than CORESET#0 associated with only UE-dedicated reception on PDCCH in a CC, comprising CORESETs in association with: </w:t>
                      </w:r>
                    </w:p>
                    <w:p w14:paraId="7D3C683D"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[USS and/or CSS Type 3]</w:t>
                      </w:r>
                    </w:p>
                    <w:p w14:paraId="1177E3E6"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 B’:  A CORESET other than CORESET#0 associated with only non-UE-dedicated reception on PDCCH in a CC, comprising CORESETs in association with:</w:t>
                      </w:r>
                    </w:p>
                    <w:p w14:paraId="3F6EAC39"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[CSS or CSS other than Type 3]</w:t>
                      </w:r>
                    </w:p>
                    <w:p w14:paraId="13D1CCFE"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 C’: A CORESET other than CORESET#0 associated with both UE-dedicated and non-UE-dedicated reception on PDCCH in a CC</w:t>
                      </w:r>
                    </w:p>
                    <w:p w14:paraId="72B1EE48"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CORESET#0</w:t>
                      </w:r>
                    </w:p>
                    <w:p w14:paraId="2F0F4155" w14:textId="77777777" w:rsidR="00A1664D" w:rsidRPr="00D44920" w:rsidRDefault="00A1664D" w:rsidP="00A1664D">
                      <w:pPr>
                        <w:numPr>
                          <w:ilvl w:val="0"/>
                          <w:numId w:val="23"/>
                        </w:numPr>
                        <w:snapToGrid w:val="0"/>
                        <w:spacing w:after="0" w:line="240" w:lineRule="auto"/>
                        <w:ind w:left="760"/>
                        <w:rPr>
                          <w:rFonts w:ascii="Times" w:eastAsia="SimSun" w:hAnsi="Times" w:cs="Times New Roman"/>
                          <w:color w:val="000000"/>
                          <w:szCs w:val="28"/>
                          <w:lang w:val="en-GB" w:eastAsia="x-none"/>
                        </w:rPr>
                      </w:pPr>
                      <w:r w:rsidRPr="00D44920">
                        <w:rPr>
                          <w:rFonts w:ascii="Times" w:eastAsia="Batang" w:hAnsi="Times" w:cs="Times New Roman"/>
                          <w:color w:val="000000"/>
                          <w:szCs w:val="28"/>
                          <w:lang w:val="en-GB" w:eastAsia="x-none"/>
                        </w:rPr>
                        <w:t xml:space="preserve">For Rel-17 TCI state indication, support </w:t>
                      </w:r>
                      <w:r w:rsidRPr="00D44920">
                        <w:rPr>
                          <w:rFonts w:ascii="Times" w:eastAsia="SimSun" w:hAnsi="Times" w:cs="Times New Roman"/>
                          <w:color w:val="000000"/>
                          <w:szCs w:val="28"/>
                          <w:lang w:val="en-GB" w:eastAsia="x-none"/>
                        </w:rPr>
                        <w:t>per CORESET determination as follows:</w:t>
                      </w:r>
                    </w:p>
                    <w:p w14:paraId="774A3969"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For any PDCCH reception on a ‘CORESET A’ and the respective PDSCH reception, UE always applies the indicated Rel-17 TCI state.</w:t>
                      </w:r>
                    </w:p>
                    <w:p w14:paraId="758961AF"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For any PDCCH reception on a ‘CORESET B’ and the respective PDSCH reception, </w:t>
                      </w:r>
                      <w:proofErr w:type="gramStart"/>
                      <w:r w:rsidRPr="00D44920">
                        <w:rPr>
                          <w:rFonts w:ascii="Times" w:eastAsia="Batang" w:hAnsi="Times" w:cs="Times New Roman"/>
                          <w:szCs w:val="20"/>
                          <w:lang w:val="en-GB" w:eastAsia="x-none"/>
                        </w:rPr>
                        <w:t>whether or not</w:t>
                      </w:r>
                      <w:proofErr w:type="gramEnd"/>
                      <w:r w:rsidRPr="00D44920">
                        <w:rPr>
                          <w:rFonts w:ascii="Times" w:eastAsia="Batang" w:hAnsi="Times" w:cs="Times New Roman"/>
                          <w:szCs w:val="20"/>
                          <w:lang w:val="en-GB" w:eastAsia="x-none"/>
                        </w:rPr>
                        <w:t xml:space="preserve"> UE to apply the indicated Rel-17 TCI state associated with the serving cell is determined per CORESET by RRC</w:t>
                      </w:r>
                    </w:p>
                    <w:p w14:paraId="3275702F"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FFS: For intra-cell BM, whether CORESET C is supported or not </w:t>
                      </w:r>
                    </w:p>
                    <w:p w14:paraId="5E5D8D6B"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If CORESET C is supported, the TCI state of CORESET C</w:t>
                      </w:r>
                    </w:p>
                    <w:p w14:paraId="4607339D" w14:textId="77777777" w:rsidR="00A1664D" w:rsidRPr="00D44920"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 xml:space="preserve">FFS: For inter-cell BM, whether CORESET C is supported or not </w:t>
                      </w:r>
                    </w:p>
                    <w:p w14:paraId="1D53DD89" w14:textId="77777777" w:rsidR="00A1664D" w:rsidRPr="00D44920" w:rsidRDefault="00A1664D" w:rsidP="00A1664D">
                      <w:pPr>
                        <w:numPr>
                          <w:ilvl w:val="1"/>
                          <w:numId w:val="23"/>
                        </w:numPr>
                        <w:snapToGrid w:val="0"/>
                        <w:spacing w:after="0" w:line="240" w:lineRule="auto"/>
                        <w:ind w:left="1200"/>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If CORESET C is supported, the TCI state of CORESET C</w:t>
                      </w:r>
                    </w:p>
                    <w:p w14:paraId="4C79A257" w14:textId="403D9A0A" w:rsidR="00A1664D" w:rsidRPr="00A1664D" w:rsidRDefault="00A1664D" w:rsidP="00A1664D">
                      <w:pPr>
                        <w:numPr>
                          <w:ilvl w:val="2"/>
                          <w:numId w:val="41"/>
                        </w:numPr>
                        <w:snapToGrid w:val="0"/>
                        <w:spacing w:after="0" w:line="240" w:lineRule="auto"/>
                        <w:jc w:val="both"/>
                        <w:rPr>
                          <w:rFonts w:ascii="Times" w:eastAsia="Batang" w:hAnsi="Times" w:cs="Times New Roman"/>
                          <w:szCs w:val="20"/>
                          <w:lang w:val="en-GB" w:eastAsia="x-none"/>
                        </w:rPr>
                      </w:pPr>
                      <w:r w:rsidRPr="00D44920">
                        <w:rPr>
                          <w:rFonts w:ascii="Times" w:eastAsia="Batang" w:hAnsi="Times" w:cs="Times New Roman"/>
                          <w:szCs w:val="20"/>
                          <w:lang w:val="en-GB" w:eastAsia="x-none"/>
                        </w:rPr>
                        <w:t>FFS: The TCI state of CORESET 0</w:t>
                      </w:r>
                    </w:p>
                  </w:txbxContent>
                </v:textbox>
                <w10:anchorlock/>
              </v:shape>
            </w:pict>
          </mc:Fallback>
        </mc:AlternateContent>
      </w:r>
    </w:p>
    <w:p w14:paraId="52A28F3C" w14:textId="415F470E" w:rsidR="00A1664D" w:rsidRDefault="00A1664D" w:rsidP="00A1664D">
      <w:pPr>
        <w:rPr>
          <w:lang w:val="en-GB" w:eastAsia="ja-JP"/>
        </w:rPr>
      </w:pPr>
      <w:r>
        <w:rPr>
          <w:lang w:val="en-GB" w:eastAsia="ja-JP"/>
        </w:rPr>
        <w:t xml:space="preserve">In this agreement, CORESET A, B and C were introduced for discussion purposes. The motivation for using CORESETs is that the TCI states are associated with CORESETs in Rel-15. </w:t>
      </w:r>
      <w:r w:rsidR="00A52360">
        <w:rPr>
          <w:lang w:val="en-GB" w:eastAsia="ja-JP"/>
        </w:rPr>
        <w:t xml:space="preserve">Each search space configuration includes a CORESET Id, and one CORESET Id can </w:t>
      </w:r>
      <w:r w:rsidR="007C2CE0">
        <w:rPr>
          <w:lang w:val="en-GB" w:eastAsia="ja-JP"/>
        </w:rPr>
        <w:t xml:space="preserve">(and must be) </w:t>
      </w:r>
      <w:r w:rsidR="00A52360">
        <w:rPr>
          <w:lang w:val="en-GB" w:eastAsia="ja-JP"/>
        </w:rPr>
        <w:t>reused across multiple search spaces</w:t>
      </w:r>
      <w:r w:rsidR="00B978EA">
        <w:rPr>
          <w:lang w:val="en-GB" w:eastAsia="ja-JP"/>
        </w:rPr>
        <w:t>. We note that there are questions (on the existence of CORESET ‘C’) related to this fundamental configuration property in the above agreement, and it seems it is necessary to observe:</w:t>
      </w:r>
    </w:p>
    <w:p w14:paraId="140A7C59" w14:textId="7611F6FA" w:rsidR="00B978EA" w:rsidRDefault="00B978EA" w:rsidP="00B978EA">
      <w:pPr>
        <w:pStyle w:val="Observation"/>
        <w:rPr>
          <w:lang w:val="en-GB"/>
        </w:rPr>
      </w:pPr>
      <w:bookmarkStart w:id="8" w:name="_Toc95748521"/>
      <w:r>
        <w:rPr>
          <w:lang w:val="en-GB"/>
        </w:rPr>
        <w:t>CORESET ‘C’ exists.</w:t>
      </w:r>
      <w:bookmarkEnd w:id="8"/>
    </w:p>
    <w:p w14:paraId="2636A55C" w14:textId="2F1A508D" w:rsidR="00623E6C" w:rsidRDefault="007B133F" w:rsidP="00A1664D">
      <w:pPr>
        <w:rPr>
          <w:lang w:val="en-GB" w:eastAsia="ja-JP"/>
        </w:rPr>
      </w:pPr>
      <w:r>
        <w:rPr>
          <w:lang w:val="en-GB" w:eastAsia="ja-JP"/>
        </w:rPr>
        <w:t xml:space="preserve">The only reasonable </w:t>
      </w:r>
      <w:r w:rsidR="006E3F13">
        <w:rPr>
          <w:lang w:val="en-GB" w:eastAsia="ja-JP"/>
        </w:rPr>
        <w:t xml:space="preserve">interpretation of </w:t>
      </w:r>
      <w:r>
        <w:rPr>
          <w:lang w:val="en-GB" w:eastAsia="ja-JP"/>
        </w:rPr>
        <w:t>the above agreement is to discuss on how QCL assumptions would be provided for PDCCH receptions where the indicated TCI state would not be applied.</w:t>
      </w:r>
    </w:p>
    <w:p w14:paraId="30DEBA58" w14:textId="2C4768F7" w:rsidR="00A1664D" w:rsidRDefault="00A1664D" w:rsidP="00A1664D">
      <w:pPr>
        <w:rPr>
          <w:lang w:val="en-GB" w:eastAsia="ja-JP"/>
        </w:rPr>
      </w:pPr>
      <w:r>
        <w:rPr>
          <w:lang w:val="en-GB" w:eastAsia="ja-JP"/>
        </w:rPr>
        <w:t xml:space="preserve">For the Rel-17 framework, </w:t>
      </w:r>
      <w:r w:rsidR="00A52360">
        <w:rPr>
          <w:lang w:val="en-GB" w:eastAsia="ja-JP"/>
        </w:rPr>
        <w:t xml:space="preserve">it has been agreed from the </w:t>
      </w:r>
      <w:r w:rsidR="007C2CE0">
        <w:rPr>
          <w:lang w:val="en-GB" w:eastAsia="ja-JP"/>
        </w:rPr>
        <w:t>very beginning</w:t>
      </w:r>
      <w:r w:rsidR="00A52360">
        <w:rPr>
          <w:lang w:val="en-GB" w:eastAsia="ja-JP"/>
        </w:rPr>
        <w:t xml:space="preserve"> that the </w:t>
      </w:r>
      <w:r w:rsidR="007C2CE0">
        <w:rPr>
          <w:lang w:val="en-GB" w:eastAsia="ja-JP"/>
        </w:rPr>
        <w:t xml:space="preserve">indicated TCI state would apply to all </w:t>
      </w:r>
      <w:r>
        <w:rPr>
          <w:lang w:val="en-GB" w:eastAsia="ja-JP"/>
        </w:rPr>
        <w:t xml:space="preserve">‘UE-dedicated </w:t>
      </w:r>
      <w:proofErr w:type="gramStart"/>
      <w:r>
        <w:rPr>
          <w:lang w:val="en-GB" w:eastAsia="ja-JP"/>
        </w:rPr>
        <w:t>reception</w:t>
      </w:r>
      <w:r w:rsidR="007C2CE0">
        <w:rPr>
          <w:lang w:val="en-GB" w:eastAsia="ja-JP"/>
        </w:rPr>
        <w:t>s</w:t>
      </w:r>
      <w:r>
        <w:rPr>
          <w:lang w:val="en-GB" w:eastAsia="ja-JP"/>
        </w:rPr>
        <w:t>’</w:t>
      </w:r>
      <w:proofErr w:type="gramEnd"/>
      <w:r>
        <w:rPr>
          <w:lang w:val="en-GB" w:eastAsia="ja-JP"/>
        </w:rPr>
        <w:t xml:space="preserve">. Although this is not clearly defined, the common understanding seems to be that receptions in USS </w:t>
      </w:r>
      <w:r w:rsidR="007C2CE0">
        <w:rPr>
          <w:lang w:val="en-GB" w:eastAsia="ja-JP"/>
        </w:rPr>
        <w:t>(</w:t>
      </w:r>
      <w:r>
        <w:rPr>
          <w:lang w:val="en-GB" w:eastAsia="ja-JP"/>
        </w:rPr>
        <w:t>and possibly Type3 CSS</w:t>
      </w:r>
      <w:r w:rsidR="007C2CE0">
        <w:rPr>
          <w:lang w:val="en-GB" w:eastAsia="ja-JP"/>
        </w:rPr>
        <w:t>)</w:t>
      </w:r>
      <w:r>
        <w:rPr>
          <w:lang w:val="en-GB" w:eastAsia="ja-JP"/>
        </w:rPr>
        <w:t xml:space="preserve"> constitute UE-dedicated receptions. The logical consequence would be that receptions in USS </w:t>
      </w:r>
      <w:r w:rsidR="007C2CE0">
        <w:rPr>
          <w:lang w:val="en-GB" w:eastAsia="ja-JP"/>
        </w:rPr>
        <w:t>(</w:t>
      </w:r>
      <w:r>
        <w:rPr>
          <w:lang w:val="en-GB" w:eastAsia="ja-JP"/>
        </w:rPr>
        <w:t>and possibly Type3 CSS</w:t>
      </w:r>
      <w:r w:rsidR="007C2CE0">
        <w:rPr>
          <w:lang w:val="en-GB" w:eastAsia="ja-JP"/>
        </w:rPr>
        <w:t>)</w:t>
      </w:r>
      <w:r>
        <w:rPr>
          <w:lang w:val="en-GB" w:eastAsia="ja-JP"/>
        </w:rPr>
        <w:t xml:space="preserve"> always use </w:t>
      </w:r>
      <w:r w:rsidR="007C2CE0">
        <w:rPr>
          <w:lang w:val="en-GB" w:eastAsia="ja-JP"/>
        </w:rPr>
        <w:t xml:space="preserve">the indicated TCI state, whereas receptions in CSS could potentially use other </w:t>
      </w:r>
      <w:r w:rsidR="007B133F">
        <w:rPr>
          <w:lang w:val="en-GB" w:eastAsia="ja-JP"/>
        </w:rPr>
        <w:t>Rel-17 TCI states.</w:t>
      </w:r>
      <w:r w:rsidR="000E2D27">
        <w:rPr>
          <w:lang w:val="en-GB" w:eastAsia="ja-JP"/>
        </w:rPr>
        <w:t xml:space="preserve"> RAN2 has made the initial interpretation that the above agreement means that there would be an RRC parameter defined per CORESET, which is also captured in the running CR </w:t>
      </w:r>
      <w:r w:rsidR="000E2D27">
        <w:rPr>
          <w:lang w:val="en-GB" w:eastAsia="ja-JP"/>
        </w:rPr>
        <w:fldChar w:fldCharType="begin"/>
      </w:r>
      <w:r w:rsidR="000E2D27">
        <w:rPr>
          <w:lang w:val="en-GB" w:eastAsia="ja-JP"/>
        </w:rPr>
        <w:instrText xml:space="preserve"> REF _Ref95386584 \r \h </w:instrText>
      </w:r>
      <w:r w:rsidR="000E2D27">
        <w:rPr>
          <w:lang w:val="en-GB" w:eastAsia="ja-JP"/>
        </w:rPr>
      </w:r>
      <w:r w:rsidR="000E2D27">
        <w:rPr>
          <w:lang w:val="en-GB" w:eastAsia="ja-JP"/>
        </w:rPr>
        <w:fldChar w:fldCharType="separate"/>
      </w:r>
      <w:r w:rsidR="004F111A">
        <w:rPr>
          <w:lang w:val="en-GB" w:eastAsia="ja-JP"/>
        </w:rPr>
        <w:t>[7]</w:t>
      </w:r>
      <w:r w:rsidR="000E2D27">
        <w:rPr>
          <w:lang w:val="en-GB" w:eastAsia="ja-JP"/>
        </w:rPr>
        <w:fldChar w:fldCharType="end"/>
      </w:r>
      <w:r w:rsidR="00951F3A">
        <w:rPr>
          <w:lang w:val="en-GB" w:eastAsia="ja-JP"/>
        </w:rPr>
        <w:t xml:space="preserve">, </w:t>
      </w:r>
      <w:r w:rsidR="00621ECE">
        <w:rPr>
          <w:lang w:val="en-GB" w:eastAsia="ja-JP"/>
        </w:rPr>
        <w:t>using</w:t>
      </w:r>
      <w:r w:rsidR="00951F3A">
        <w:rPr>
          <w:lang w:val="en-GB" w:eastAsia="ja-JP"/>
        </w:rPr>
        <w:t xml:space="preserve"> the RRC parameter </w:t>
      </w:r>
      <w:r w:rsidR="00951F3A" w:rsidRPr="00951F3A">
        <w:rPr>
          <w:i/>
          <w:iCs/>
          <w:lang w:val="en-GB" w:eastAsia="ja-JP"/>
        </w:rPr>
        <w:t>followUnifiedTCIstate-r17</w:t>
      </w:r>
      <w:r w:rsidR="00951F3A">
        <w:rPr>
          <w:lang w:val="en-GB" w:eastAsia="ja-JP"/>
        </w:rPr>
        <w:t>.</w:t>
      </w:r>
      <w:r w:rsidR="000E2D27">
        <w:rPr>
          <w:lang w:val="en-GB" w:eastAsia="ja-JP"/>
        </w:rPr>
        <w:t xml:space="preserve"> However, RAN2 is also questioning if this is the intended behaviour in the LS </w:t>
      </w:r>
      <w:r w:rsidR="000E2D27">
        <w:rPr>
          <w:lang w:val="en-GB" w:eastAsia="ja-JP"/>
        </w:rPr>
        <w:fldChar w:fldCharType="begin"/>
      </w:r>
      <w:r w:rsidR="000E2D27">
        <w:rPr>
          <w:lang w:val="en-GB" w:eastAsia="ja-JP"/>
        </w:rPr>
        <w:instrText xml:space="preserve"> REF _Ref95386730 \r \h </w:instrText>
      </w:r>
      <w:r w:rsidR="000E2D27">
        <w:rPr>
          <w:lang w:val="en-GB" w:eastAsia="ja-JP"/>
        </w:rPr>
      </w:r>
      <w:r w:rsidR="000E2D27">
        <w:rPr>
          <w:lang w:val="en-GB" w:eastAsia="ja-JP"/>
        </w:rPr>
        <w:fldChar w:fldCharType="separate"/>
      </w:r>
      <w:r w:rsidR="004F111A">
        <w:rPr>
          <w:lang w:val="en-GB" w:eastAsia="ja-JP"/>
        </w:rPr>
        <w:t>[8]</w:t>
      </w:r>
      <w:r w:rsidR="000E2D27">
        <w:rPr>
          <w:lang w:val="en-GB" w:eastAsia="ja-JP"/>
        </w:rPr>
        <w:fldChar w:fldCharType="end"/>
      </w:r>
      <w:r w:rsidR="000E2D27">
        <w:rPr>
          <w:lang w:val="en-GB" w:eastAsia="ja-JP"/>
        </w:rPr>
        <w:t>. As there is no correlation between ‘UE-dedicated reception’ and CORESET, it is fair to say that this is not in line with</w:t>
      </w:r>
      <w:r w:rsidR="00621ECE">
        <w:rPr>
          <w:lang w:val="en-GB" w:eastAsia="ja-JP"/>
        </w:rPr>
        <w:t xml:space="preserve"> the original</w:t>
      </w:r>
      <w:r w:rsidR="000E2D27">
        <w:rPr>
          <w:lang w:val="en-GB" w:eastAsia="ja-JP"/>
        </w:rPr>
        <w:t xml:space="preserve"> RAN1 intentions. It may even be argued that the RAN1 agreements are contradictory.</w:t>
      </w:r>
    </w:p>
    <w:p w14:paraId="14A4EB1E" w14:textId="5C1501B5" w:rsidR="000E2D27" w:rsidRDefault="000E2D27" w:rsidP="00A1664D">
      <w:pPr>
        <w:rPr>
          <w:lang w:val="en-GB" w:eastAsia="ja-JP"/>
        </w:rPr>
      </w:pPr>
      <w:r>
        <w:rPr>
          <w:lang w:val="en-GB" w:eastAsia="ja-JP"/>
        </w:rPr>
        <w:t xml:space="preserve">In our understanding, the only way to </w:t>
      </w:r>
      <w:r w:rsidR="00951F3A">
        <w:rPr>
          <w:lang w:val="en-GB" w:eastAsia="ja-JP"/>
        </w:rPr>
        <w:t>configure the PDCCH receptions according to if it is ‘UE-dedicated’ or not, is to configure this property on a search space level:</w:t>
      </w:r>
    </w:p>
    <w:p w14:paraId="3B2DDDEF" w14:textId="33169145" w:rsidR="002A155A" w:rsidRPr="002A155A" w:rsidRDefault="00951F3A" w:rsidP="00F64D9C">
      <w:pPr>
        <w:pStyle w:val="Proposal"/>
        <w:rPr>
          <w:lang w:val="en-GB" w:eastAsia="ja-JP"/>
        </w:rPr>
      </w:pPr>
      <w:bookmarkStart w:id="9" w:name="_Toc95748529"/>
      <w:r>
        <w:rPr>
          <w:lang w:val="en-GB" w:eastAsia="ja-JP"/>
        </w:rPr>
        <w:t xml:space="preserve">Move the RRC parameter </w:t>
      </w:r>
      <w:r w:rsidRPr="00951F3A">
        <w:rPr>
          <w:i/>
          <w:iCs/>
          <w:lang w:val="en-GB" w:eastAsia="ja-JP"/>
        </w:rPr>
        <w:t>followUnifiedTCIstate-r17</w:t>
      </w:r>
      <w:r>
        <w:rPr>
          <w:i/>
          <w:iCs/>
          <w:lang w:val="en-GB" w:eastAsia="ja-JP"/>
        </w:rPr>
        <w:t xml:space="preserve"> </w:t>
      </w:r>
      <w:r>
        <w:rPr>
          <w:lang w:val="en-GB" w:eastAsia="ja-JP"/>
        </w:rPr>
        <w:t>to the search space level.</w:t>
      </w:r>
      <w:bookmarkEnd w:id="9"/>
    </w:p>
    <w:p w14:paraId="3FC95B3C" w14:textId="6209B964" w:rsidR="001505A3" w:rsidRDefault="00F64D9C" w:rsidP="00F64D9C">
      <w:pPr>
        <w:pStyle w:val="BodyText"/>
        <w:rPr>
          <w:lang w:val="en-GB" w:eastAsia="ja-JP"/>
        </w:rPr>
      </w:pPr>
      <w:r>
        <w:rPr>
          <w:lang w:val="en-GB" w:eastAsia="ja-JP"/>
        </w:rPr>
        <w:t xml:space="preserve">If RAN1 insists on keeping </w:t>
      </w:r>
      <w:r w:rsidRPr="00951F3A">
        <w:rPr>
          <w:i/>
          <w:iCs/>
          <w:lang w:val="en-GB" w:eastAsia="ja-JP"/>
        </w:rPr>
        <w:t>followUnifiedTCIstate-r17</w:t>
      </w:r>
      <w:r>
        <w:rPr>
          <w:i/>
          <w:iCs/>
          <w:lang w:val="en-GB" w:eastAsia="ja-JP"/>
        </w:rPr>
        <w:t xml:space="preserve"> </w:t>
      </w:r>
      <w:r>
        <w:rPr>
          <w:lang w:val="en-GB" w:eastAsia="ja-JP"/>
        </w:rPr>
        <w:t>in the CORESET configuration, we will face the situation that the UE</w:t>
      </w:r>
      <w:r w:rsidR="007E0845">
        <w:rPr>
          <w:lang w:val="en-GB" w:eastAsia="ja-JP"/>
        </w:rPr>
        <w:t xml:space="preserve"> may</w:t>
      </w:r>
      <w:r>
        <w:rPr>
          <w:lang w:val="en-GB" w:eastAsia="ja-JP"/>
        </w:rPr>
        <w:t xml:space="preserve"> under some circumstances ignore the configured value</w:t>
      </w:r>
      <w:r w:rsidR="007E0845">
        <w:rPr>
          <w:lang w:val="en-GB" w:eastAsia="ja-JP"/>
        </w:rPr>
        <w:t>, since one CORESET can be associated both with USS and CSS</w:t>
      </w:r>
      <w:r>
        <w:rPr>
          <w:lang w:val="en-GB" w:eastAsia="ja-JP"/>
        </w:rPr>
        <w:t>.</w:t>
      </w:r>
      <w:r w:rsidR="001505A3">
        <w:rPr>
          <w:lang w:val="en-GB" w:eastAsia="ja-JP"/>
        </w:rPr>
        <w:t xml:space="preserve"> Allowing the UE to ignore RRC-configured parameters </w:t>
      </w:r>
      <w:r w:rsidR="00BA0330">
        <w:rPr>
          <w:lang w:val="en-GB" w:eastAsia="ja-JP"/>
        </w:rPr>
        <w:t xml:space="preserve">is risky, but </w:t>
      </w:r>
      <w:r w:rsidR="005943AE">
        <w:rPr>
          <w:lang w:val="en-GB" w:eastAsia="ja-JP"/>
        </w:rPr>
        <w:t xml:space="preserve">functional in principle. The whole point with unified TCI is let many signals follow the same beam, so if it is impossible to move the </w:t>
      </w:r>
      <w:r w:rsidR="005943AE" w:rsidRPr="00951F3A">
        <w:rPr>
          <w:i/>
          <w:iCs/>
          <w:lang w:val="en-GB" w:eastAsia="ja-JP"/>
        </w:rPr>
        <w:t>followUnifiedTCIstate-r17</w:t>
      </w:r>
      <w:r w:rsidR="005943AE">
        <w:rPr>
          <w:i/>
          <w:iCs/>
          <w:lang w:val="en-GB" w:eastAsia="ja-JP"/>
        </w:rPr>
        <w:t xml:space="preserve"> </w:t>
      </w:r>
      <w:r w:rsidR="005943AE">
        <w:rPr>
          <w:lang w:val="en-GB" w:eastAsia="ja-JP"/>
        </w:rPr>
        <w:t>to the search space configuration</w:t>
      </w:r>
      <w:r w:rsidR="005943AE">
        <w:rPr>
          <w:i/>
          <w:iCs/>
          <w:lang w:val="en-GB" w:eastAsia="ja-JP"/>
        </w:rPr>
        <w:t>,</w:t>
      </w:r>
      <w:r w:rsidR="005943AE">
        <w:rPr>
          <w:lang w:val="en-GB" w:eastAsia="ja-JP"/>
        </w:rPr>
        <w:t xml:space="preserve"> our preference is</w:t>
      </w:r>
      <w:r w:rsidR="000808D1">
        <w:rPr>
          <w:lang w:val="en-GB" w:eastAsia="ja-JP"/>
        </w:rPr>
        <w:t xml:space="preserve"> to divert from the indicated TCI state as little as possible. Formulating this </w:t>
      </w:r>
      <w:r w:rsidR="004A4B33">
        <w:rPr>
          <w:lang w:val="en-GB" w:eastAsia="ja-JP"/>
        </w:rPr>
        <w:t>in the specification will be complicated.</w:t>
      </w:r>
    </w:p>
    <w:p w14:paraId="5C2366FF" w14:textId="26E19F06" w:rsidR="004A4B33" w:rsidRDefault="000808D1" w:rsidP="00F64D9C">
      <w:pPr>
        <w:pStyle w:val="BodyText"/>
        <w:rPr>
          <w:lang w:val="en-GB" w:eastAsia="ja-JP"/>
        </w:rPr>
      </w:pPr>
      <w:r>
        <w:rPr>
          <w:lang w:val="en-GB" w:eastAsia="ja-JP"/>
        </w:rPr>
        <w:lastRenderedPageBreak/>
        <w:t xml:space="preserve">The agreement above excludes CORESET#0. In Rel-15, the TCI state configuration for CORESET#0 is somewhat different. There is no possibility to RRC-configure TCI states for CORESET#0, but it is still possible to activate TCI states for CORESET#0. </w:t>
      </w:r>
      <w:r w:rsidR="004A4B33">
        <w:rPr>
          <w:lang w:val="en-GB" w:eastAsia="ja-JP"/>
        </w:rPr>
        <w:t>In our understanding, a</w:t>
      </w:r>
      <w:r>
        <w:rPr>
          <w:lang w:val="en-GB" w:eastAsia="ja-JP"/>
        </w:rPr>
        <w:t xml:space="preserve">ctivating TCI states for CORESET#0 is unnecessary: </w:t>
      </w:r>
      <w:r w:rsidR="004A4B33">
        <w:rPr>
          <w:lang w:val="en-GB" w:eastAsia="ja-JP"/>
        </w:rPr>
        <w:t xml:space="preserve">it is difficult to use </w:t>
      </w:r>
      <w:r>
        <w:rPr>
          <w:lang w:val="en-GB" w:eastAsia="ja-JP"/>
        </w:rPr>
        <w:t>CORESET#0 for other purposes than</w:t>
      </w:r>
      <w:r w:rsidR="004A4B33">
        <w:rPr>
          <w:lang w:val="en-GB" w:eastAsia="ja-JP"/>
        </w:rPr>
        <w:t xml:space="preserve"> SI, paging and RAR.</w:t>
      </w:r>
      <w:r w:rsidR="00ED6838">
        <w:rPr>
          <w:lang w:val="en-GB" w:eastAsia="ja-JP"/>
        </w:rPr>
        <w:t xml:space="preserve"> </w:t>
      </w:r>
      <w:r w:rsidR="004A4B33">
        <w:rPr>
          <w:lang w:val="en-GB" w:eastAsia="ja-JP"/>
        </w:rPr>
        <w:t>Therefore, introducing unified TCI for CORESET#0 is unnecessary, and it is sufficient to keep the legacy behaviour for CORESET#0:</w:t>
      </w:r>
    </w:p>
    <w:p w14:paraId="1F1BB92D" w14:textId="389E6220" w:rsidR="001505A3" w:rsidRDefault="004A4B33" w:rsidP="00F64D9C">
      <w:pPr>
        <w:pStyle w:val="Proposal"/>
        <w:rPr>
          <w:lang w:val="en-GB" w:eastAsia="ja-JP"/>
        </w:rPr>
      </w:pPr>
      <w:bookmarkStart w:id="10" w:name="_Toc95748530"/>
      <w:r>
        <w:rPr>
          <w:lang w:val="en-GB" w:eastAsia="ja-JP"/>
        </w:rPr>
        <w:t>CORESET#0 never follows the indicated TCI.</w:t>
      </w:r>
      <w:bookmarkEnd w:id="10"/>
    </w:p>
    <w:p w14:paraId="2F274143" w14:textId="45536ECC" w:rsidR="00ED6838" w:rsidRPr="004A4B33" w:rsidRDefault="00ED6838" w:rsidP="00ED6838">
      <w:pPr>
        <w:pStyle w:val="BodyText"/>
        <w:rPr>
          <w:lang w:val="en-GB" w:eastAsia="ja-JP"/>
        </w:rPr>
      </w:pPr>
      <w:r>
        <w:rPr>
          <w:lang w:val="en-GB" w:eastAsia="ja-JP"/>
        </w:rPr>
        <w:t xml:space="preserve">Note that this will automatically lead to that the UE can receive common signals from serving cell, </w:t>
      </w:r>
      <w:proofErr w:type="gramStart"/>
      <w:r>
        <w:rPr>
          <w:lang w:val="en-GB" w:eastAsia="ja-JP"/>
        </w:rPr>
        <w:t>as long as</w:t>
      </w:r>
      <w:proofErr w:type="gramEnd"/>
      <w:r>
        <w:rPr>
          <w:lang w:val="en-GB" w:eastAsia="ja-JP"/>
        </w:rPr>
        <w:t xml:space="preserve"> the common signals are mapped to CORESET#0.</w:t>
      </w:r>
    </w:p>
    <w:p w14:paraId="707A149C" w14:textId="3480A3D8" w:rsidR="007E15B1" w:rsidRPr="00CA6C2B" w:rsidRDefault="007E15B1" w:rsidP="007E15B1">
      <w:pPr>
        <w:pStyle w:val="Heading3"/>
      </w:pPr>
      <w:r w:rsidRPr="00CA6C2B">
        <w:t>2.1.</w:t>
      </w:r>
      <w:r>
        <w:t>5</w:t>
      </w:r>
      <w:r w:rsidRPr="00CA6C2B">
        <w:tab/>
        <w:t>Possible target RSs for the unified TCI</w:t>
      </w:r>
    </w:p>
    <w:p w14:paraId="16758EEC" w14:textId="77777777" w:rsidR="007E15B1" w:rsidRPr="000246B8" w:rsidRDefault="007E15B1" w:rsidP="007E15B1">
      <w:pPr>
        <w:rPr>
          <w:lang w:val="en-GB" w:eastAsia="ja-JP"/>
        </w:rPr>
      </w:pPr>
      <w:r w:rsidRPr="000246B8">
        <w:rPr>
          <w:lang w:val="en-GB" w:eastAsia="ja-JP"/>
        </w:rPr>
        <w:t>In RAN#106-e, the following agreement was made:</w:t>
      </w:r>
    </w:p>
    <w:p w14:paraId="36F8BD17" w14:textId="77777777" w:rsidR="007E15B1" w:rsidRPr="0071377A" w:rsidRDefault="007E15B1" w:rsidP="007E15B1">
      <w:pPr>
        <w:pStyle w:val="BodyText"/>
      </w:pPr>
      <w:r w:rsidRPr="0071377A">
        <w:rPr>
          <w:noProof/>
        </w:rPr>
        <mc:AlternateContent>
          <mc:Choice Requires="wps">
            <w:drawing>
              <wp:inline distT="0" distB="0" distL="0" distR="0" wp14:anchorId="7D71A3BF" wp14:editId="0BA3DD43">
                <wp:extent cx="6146359" cy="771276"/>
                <wp:effectExtent l="0" t="0" r="26035" b="24765"/>
                <wp:docPr id="14" name="Text Box 1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2BCE544" w14:textId="77777777" w:rsidR="007E15B1" w:rsidRPr="0036243D" w:rsidRDefault="007E15B1" w:rsidP="007E15B1">
                            <w:pPr>
                              <w:pStyle w:val="xxxmsonormal"/>
                              <w:jc w:val="both"/>
                              <w:rPr>
                                <w:sz w:val="20"/>
                                <w:szCs w:val="20"/>
                              </w:rPr>
                            </w:pPr>
                            <w:r w:rsidRPr="0036243D">
                              <w:rPr>
                                <w:b/>
                                <w:bCs/>
                                <w:color w:val="000000"/>
                                <w:sz w:val="20"/>
                                <w:szCs w:val="20"/>
                                <w:highlight w:val="green"/>
                              </w:rPr>
                              <w:t>Agreement</w:t>
                            </w:r>
                          </w:p>
                          <w:p w14:paraId="53B46128" w14:textId="77777777" w:rsidR="007E15B1" w:rsidRPr="0036243D" w:rsidRDefault="007E15B1" w:rsidP="007E15B1">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4A001452" w14:textId="77777777" w:rsidR="007E15B1" w:rsidRPr="0036243D"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00187100" w14:textId="77777777" w:rsidR="007E15B1" w:rsidRPr="0036243D" w:rsidRDefault="007E15B1" w:rsidP="007E15B1">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44B3ACFF" w14:textId="77777777" w:rsidR="007E15B1" w:rsidRPr="0036243D"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3C007B9E" w14:textId="77777777" w:rsidR="007E15B1" w:rsidRPr="0036243D" w:rsidRDefault="007E15B1" w:rsidP="007E15B1">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799340B9" w14:textId="77777777" w:rsidR="007E15B1" w:rsidRPr="002D1108"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71A3BF" id="Text Box 14"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KWv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t&#10;zKWvTgIAAKoEAAAOAAAAAAAAAAAAAAAAAC4CAABkcnMvZTJvRG9jLnhtbFBLAQItABQABgAIAAAA&#10;IQAiBMLm3AAAAAUBAAAPAAAAAAAAAAAAAAAAAKgEAABkcnMvZG93bnJldi54bWxQSwUGAAAAAAQA&#10;BADzAAAAsQUAAAAA&#10;" fillcolor="white [3201]" strokeweight=".5pt">
                <v:textbox style="mso-fit-shape-to-text:t">
                  <w:txbxContent>
                    <w:p w14:paraId="72BCE544" w14:textId="77777777" w:rsidR="007E15B1" w:rsidRPr="0036243D" w:rsidRDefault="007E15B1" w:rsidP="007E15B1">
                      <w:pPr>
                        <w:pStyle w:val="xxxmsonormal"/>
                        <w:jc w:val="both"/>
                        <w:rPr>
                          <w:sz w:val="20"/>
                          <w:szCs w:val="20"/>
                        </w:rPr>
                      </w:pPr>
                      <w:r w:rsidRPr="0036243D">
                        <w:rPr>
                          <w:b/>
                          <w:bCs/>
                          <w:color w:val="000000"/>
                          <w:sz w:val="20"/>
                          <w:szCs w:val="20"/>
                          <w:highlight w:val="green"/>
                        </w:rPr>
                        <w:t>Agreement</w:t>
                      </w:r>
                    </w:p>
                    <w:p w14:paraId="53B46128" w14:textId="77777777" w:rsidR="007E15B1" w:rsidRPr="0036243D" w:rsidRDefault="007E15B1" w:rsidP="007E15B1">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4A001452" w14:textId="77777777" w:rsidR="007E15B1" w:rsidRPr="0036243D"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00187100" w14:textId="77777777" w:rsidR="007E15B1" w:rsidRPr="0036243D" w:rsidRDefault="007E15B1" w:rsidP="007E15B1">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44B3ACFF" w14:textId="77777777" w:rsidR="007E15B1" w:rsidRPr="0036243D"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3C007B9E" w14:textId="77777777" w:rsidR="007E15B1" w:rsidRPr="0036243D" w:rsidRDefault="007E15B1" w:rsidP="007E15B1">
                      <w:pPr>
                        <w:pStyle w:val="ListParagraph"/>
                        <w:numPr>
                          <w:ilvl w:val="1"/>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799340B9" w14:textId="77777777" w:rsidR="007E15B1" w:rsidRPr="002D1108" w:rsidRDefault="007E15B1" w:rsidP="007E15B1">
                      <w:pPr>
                        <w:pStyle w:val="ListParagraph"/>
                        <w:numPr>
                          <w:ilvl w:val="0"/>
                          <w:numId w:val="16"/>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v:textbox>
                <w10:anchorlock/>
              </v:shape>
            </w:pict>
          </mc:Fallback>
        </mc:AlternateContent>
      </w:r>
    </w:p>
    <w:p w14:paraId="7F7AEE86" w14:textId="77777777" w:rsidR="007E15B1" w:rsidRPr="0071377A" w:rsidRDefault="007E15B1" w:rsidP="007E15B1">
      <w:pPr>
        <w:rPr>
          <w:lang w:eastAsia="ja-JP"/>
        </w:rPr>
      </w:pPr>
      <w:r w:rsidRPr="0071377A">
        <w:rPr>
          <w:lang w:eastAsia="ja-JP"/>
        </w:rPr>
        <w:t>In the agreement, there is an FFS on if periodic and semi-persistent CSI-RS can share the same indicated Rel-17 TCI state as UE-dedicated reception on PDSCH and for UE-dedicated reception on all or subset of CORESETs in a CC. As we see it, this should be possible, and propose:</w:t>
      </w:r>
    </w:p>
    <w:p w14:paraId="2A1D7C59" w14:textId="77777777" w:rsidR="007E15B1" w:rsidRPr="0071377A" w:rsidRDefault="007E15B1" w:rsidP="007E15B1">
      <w:pPr>
        <w:pStyle w:val="Proposal"/>
        <w:rPr>
          <w:lang w:eastAsia="ja-JP"/>
        </w:rPr>
      </w:pPr>
      <w:bookmarkStart w:id="11" w:name="_Ref78887151"/>
      <w:bookmarkStart w:id="12" w:name="_Toc95748531"/>
      <w:r w:rsidRPr="0071377A">
        <w:rPr>
          <w:lang w:eastAsia="ja-JP"/>
        </w:rPr>
        <w:t xml:space="preserve">If the UE is not provided with </w:t>
      </w:r>
      <w:proofErr w:type="spellStart"/>
      <w:r w:rsidRPr="0071377A">
        <w:rPr>
          <w:lang w:eastAsia="ja-JP"/>
        </w:rPr>
        <w:t>qcl</w:t>
      </w:r>
      <w:proofErr w:type="spellEnd"/>
      <w:r w:rsidRPr="0071377A">
        <w:rPr>
          <w:lang w:eastAsia="ja-JP"/>
        </w:rPr>
        <w:t>-</w:t>
      </w:r>
      <w:proofErr w:type="spellStart"/>
      <w:r w:rsidRPr="0071377A">
        <w:rPr>
          <w:lang w:eastAsia="ja-JP"/>
        </w:rPr>
        <w:t>InfoPeriodicCSI</w:t>
      </w:r>
      <w:proofErr w:type="spellEnd"/>
      <w:r w:rsidRPr="0071377A">
        <w:rPr>
          <w:lang w:eastAsia="ja-JP"/>
        </w:rPr>
        <w:t>-RS for a periodic CSI-RS resource, the UE applies the QCL assumptions of the PDCCH/PDSCH when receiving the CSI-RS.</w:t>
      </w:r>
      <w:bookmarkEnd w:id="11"/>
      <w:bookmarkEnd w:id="12"/>
    </w:p>
    <w:p w14:paraId="48382AF0" w14:textId="72EFF15C" w:rsidR="007E15B1" w:rsidRPr="0071377A" w:rsidRDefault="007E15B1" w:rsidP="007E15B1">
      <w:pPr>
        <w:rPr>
          <w:lang w:eastAsia="ja-JP"/>
        </w:rPr>
      </w:pPr>
      <w:r w:rsidRPr="0071377A">
        <w:rPr>
          <w:lang w:eastAsia="ja-JP"/>
        </w:rPr>
        <w:t xml:space="preserve">The field </w:t>
      </w:r>
      <w:proofErr w:type="spellStart"/>
      <w:r w:rsidRPr="0071377A">
        <w:rPr>
          <w:i/>
          <w:iCs/>
          <w:lang w:eastAsia="ja-JP"/>
        </w:rPr>
        <w:t>qcl</w:t>
      </w:r>
      <w:proofErr w:type="spellEnd"/>
      <w:r w:rsidRPr="0071377A">
        <w:rPr>
          <w:i/>
          <w:iCs/>
          <w:lang w:eastAsia="ja-JP"/>
        </w:rPr>
        <w:t>-</w:t>
      </w:r>
      <w:proofErr w:type="spellStart"/>
      <w:r w:rsidRPr="0071377A">
        <w:rPr>
          <w:i/>
          <w:iCs/>
          <w:lang w:eastAsia="ja-JP"/>
        </w:rPr>
        <w:t>InfoPeriodicCSI</w:t>
      </w:r>
      <w:proofErr w:type="spellEnd"/>
      <w:r w:rsidRPr="0071377A">
        <w:rPr>
          <w:i/>
          <w:iCs/>
          <w:lang w:eastAsia="ja-JP"/>
        </w:rPr>
        <w:t>-RS</w:t>
      </w:r>
      <w:r w:rsidRPr="0071377A">
        <w:rPr>
          <w:lang w:eastAsia="ja-JP"/>
        </w:rPr>
        <w:t xml:space="preserve"> is optional in RRC, but so far, no default behavior has been defined. </w:t>
      </w:r>
      <w:r w:rsidRPr="0071377A">
        <w:rPr>
          <w:lang w:eastAsia="ja-JP"/>
        </w:rPr>
        <w:fldChar w:fldCharType="begin"/>
      </w:r>
      <w:r w:rsidRPr="0071377A">
        <w:rPr>
          <w:lang w:eastAsia="ja-JP"/>
        </w:rPr>
        <w:instrText xml:space="preserve"> REF _Ref78887151 \r \h  \* MERGEFORMAT </w:instrText>
      </w:r>
      <w:r w:rsidRPr="0071377A">
        <w:rPr>
          <w:lang w:eastAsia="ja-JP"/>
        </w:rPr>
      </w:r>
      <w:r w:rsidRPr="0071377A">
        <w:rPr>
          <w:lang w:eastAsia="ja-JP"/>
        </w:rPr>
        <w:fldChar w:fldCharType="separate"/>
      </w:r>
      <w:r w:rsidR="004F111A">
        <w:rPr>
          <w:lang w:eastAsia="ja-JP"/>
        </w:rPr>
        <w:t>Proposal 8</w:t>
      </w:r>
      <w:r w:rsidRPr="0071377A">
        <w:rPr>
          <w:lang w:eastAsia="ja-JP"/>
        </w:rPr>
        <w:fldChar w:fldCharType="end"/>
      </w:r>
      <w:r w:rsidRPr="0071377A">
        <w:rPr>
          <w:lang w:eastAsia="ja-JP"/>
        </w:rPr>
        <w:t xml:space="preserve"> would finally provide a solution to this unclarity. </w:t>
      </w:r>
    </w:p>
    <w:p w14:paraId="2DD41367" w14:textId="77777777" w:rsidR="007E15B1" w:rsidRPr="0071377A" w:rsidRDefault="007E15B1" w:rsidP="007E15B1">
      <w:pPr>
        <w:rPr>
          <w:lang w:eastAsia="ja-JP"/>
        </w:rPr>
      </w:pPr>
      <w:r w:rsidRPr="0071377A">
        <w:rPr>
          <w:lang w:eastAsia="ja-JP"/>
        </w:rPr>
        <w:t>For semi-persistent CSI-RS, a similar paradigm can be used:</w:t>
      </w:r>
    </w:p>
    <w:p w14:paraId="3BF92492" w14:textId="77777777" w:rsidR="007E15B1" w:rsidRPr="0071377A" w:rsidRDefault="007E15B1" w:rsidP="007E15B1">
      <w:pPr>
        <w:pStyle w:val="Proposal"/>
        <w:rPr>
          <w:lang w:eastAsia="ja-JP"/>
        </w:rPr>
      </w:pPr>
      <w:bookmarkStart w:id="13" w:name="_Ref78887153"/>
      <w:bookmarkStart w:id="14" w:name="_Toc95748532"/>
      <w:r w:rsidRPr="0071377A">
        <w:rPr>
          <w:lang w:eastAsia="ja-JP"/>
        </w:rPr>
        <w:t>If there is no TCI state in the SP CSI-RS/CSI-IM Resource Set Activation/Deactivation MAC CE, the UE applies the QCL assumptions of the PDCCH/PDSCH when receiving the CSI-RS.</w:t>
      </w:r>
      <w:bookmarkEnd w:id="13"/>
      <w:bookmarkEnd w:id="14"/>
    </w:p>
    <w:p w14:paraId="343F12B1" w14:textId="6239EB28" w:rsidR="007E15B1" w:rsidRPr="00A707F3" w:rsidRDefault="007E15B1" w:rsidP="007E15B1">
      <w:pPr>
        <w:rPr>
          <w:lang w:eastAsia="ja-JP"/>
        </w:rPr>
      </w:pPr>
      <w:r w:rsidRPr="0071377A">
        <w:rPr>
          <w:lang w:eastAsia="ja-JP"/>
        </w:rPr>
        <w:t xml:space="preserve">For a CSI-RS used as source reference signal(s) in DL TCI, a TCI state </w:t>
      </w:r>
      <w:r w:rsidRPr="0071377A">
        <w:rPr>
          <w:i/>
          <w:iCs/>
          <w:lang w:eastAsia="ja-JP"/>
        </w:rPr>
        <w:t>must</w:t>
      </w:r>
      <w:r w:rsidRPr="0071377A">
        <w:rPr>
          <w:lang w:eastAsia="ja-JP"/>
        </w:rPr>
        <w:t xml:space="preserve"> of course be provided.</w:t>
      </w:r>
    </w:p>
    <w:p w14:paraId="1026BFFF" w14:textId="5895CCB4" w:rsidR="002D012D" w:rsidRPr="007C7013" w:rsidRDefault="002D012D" w:rsidP="002D012D">
      <w:pPr>
        <w:pStyle w:val="Heading2"/>
      </w:pPr>
      <w:r w:rsidRPr="007C7013">
        <w:t>2.2</w:t>
      </w:r>
      <w:r w:rsidRPr="007C7013">
        <w:tab/>
        <w:t>Inter-cell beam management</w:t>
      </w:r>
    </w:p>
    <w:p w14:paraId="05DAFD9F" w14:textId="0117AA4F" w:rsidR="007C7013" w:rsidRDefault="007C7013" w:rsidP="007C7013">
      <w:pPr>
        <w:rPr>
          <w:lang w:val="en-GB" w:eastAsia="ja-JP"/>
        </w:rPr>
      </w:pPr>
      <w:r>
        <w:rPr>
          <w:lang w:val="en-GB" w:eastAsia="ja-JP"/>
        </w:rPr>
        <w:t xml:space="preserve">Most issues regarding inter-cell beam management are resolved. The UE feature discussion is still ongoing, though, and one of the current proposals is related to the relation between the inter-cell beam measurements and the L3 measurements. The actual measurements are quite similar: the </w:t>
      </w:r>
      <w:r w:rsidR="00823EAA">
        <w:rPr>
          <w:lang w:val="en-GB" w:eastAsia="ja-JP"/>
        </w:rPr>
        <w:t xml:space="preserve">SS-RSRP </w:t>
      </w:r>
      <w:r>
        <w:rPr>
          <w:lang w:val="en-GB" w:eastAsia="ja-JP"/>
        </w:rPr>
        <w:t xml:space="preserve">measurement that is used as input to the </w:t>
      </w:r>
      <w:r w:rsidR="00823EAA">
        <w:rPr>
          <w:lang w:val="en-GB" w:eastAsia="ja-JP"/>
        </w:rPr>
        <w:t xml:space="preserve">L3 filter is the same SS-RSRP measurement that would be reported as an inter-cell beam measurement. However, the way the measurement target is identified is different: for inter-cell beam measurements, the SSBs the UE should measure are explicitly configured in </w:t>
      </w:r>
      <w:r w:rsidR="00823EAA" w:rsidRPr="00823EAA">
        <w:rPr>
          <w:i/>
          <w:iCs/>
          <w:lang w:val="en-GB" w:eastAsia="ja-JP"/>
        </w:rPr>
        <w:t>CSI-SSB-</w:t>
      </w:r>
      <w:proofErr w:type="spellStart"/>
      <w:r w:rsidR="00823EAA" w:rsidRPr="00823EAA">
        <w:rPr>
          <w:i/>
          <w:iCs/>
          <w:lang w:val="en-GB" w:eastAsia="ja-JP"/>
        </w:rPr>
        <w:t>ResourceSet</w:t>
      </w:r>
      <w:r w:rsidR="00823EAA">
        <w:rPr>
          <w:i/>
          <w:iCs/>
          <w:lang w:val="en-GB" w:eastAsia="ja-JP"/>
        </w:rPr>
        <w:t>s</w:t>
      </w:r>
      <w:proofErr w:type="spellEnd"/>
      <w:r w:rsidR="00823EAA">
        <w:rPr>
          <w:i/>
          <w:iCs/>
          <w:lang w:val="en-GB" w:eastAsia="ja-JP"/>
        </w:rPr>
        <w:t xml:space="preserve">. </w:t>
      </w:r>
      <w:r w:rsidR="00823EAA" w:rsidRPr="00823EAA">
        <w:rPr>
          <w:lang w:val="en-GB" w:eastAsia="ja-JP"/>
        </w:rPr>
        <w:t>For</w:t>
      </w:r>
      <w:r w:rsidR="00823EAA">
        <w:rPr>
          <w:i/>
          <w:iCs/>
          <w:lang w:val="en-GB" w:eastAsia="ja-JP"/>
        </w:rPr>
        <w:t xml:space="preserve"> </w:t>
      </w:r>
      <w:r w:rsidR="00823EAA">
        <w:rPr>
          <w:lang w:val="en-GB" w:eastAsia="ja-JP"/>
        </w:rPr>
        <w:t xml:space="preserve">the L3 measurements, only the frequency allocation of the SSBs may be provided, and the UE then blindly identifies any relevant SSBs on that frequency. This procedure of blindly identifying neighbour cells/SSBs is implemented in all legacy </w:t>
      </w:r>
      <w:proofErr w:type="gramStart"/>
      <w:r w:rsidR="00823EAA">
        <w:rPr>
          <w:lang w:val="en-GB" w:eastAsia="ja-JP"/>
        </w:rPr>
        <w:t>UEs, and</w:t>
      </w:r>
      <w:proofErr w:type="gramEnd"/>
      <w:r w:rsidR="00823EAA">
        <w:rPr>
          <w:lang w:val="en-GB" w:eastAsia="ja-JP"/>
        </w:rPr>
        <w:t xml:space="preserve"> </w:t>
      </w:r>
      <w:r w:rsidR="00ED6838">
        <w:rPr>
          <w:lang w:val="en-GB" w:eastAsia="ja-JP"/>
        </w:rPr>
        <w:t xml:space="preserve">is a corner stone of modern </w:t>
      </w:r>
      <w:r w:rsidR="00823EAA">
        <w:rPr>
          <w:lang w:val="en-GB" w:eastAsia="ja-JP"/>
        </w:rPr>
        <w:t xml:space="preserve">network deployment. </w:t>
      </w:r>
    </w:p>
    <w:p w14:paraId="40123856" w14:textId="6AA14970" w:rsidR="00823EAA" w:rsidRDefault="00823EAA" w:rsidP="007C7013">
      <w:pPr>
        <w:rPr>
          <w:lang w:val="en-GB" w:eastAsia="ja-JP"/>
        </w:rPr>
      </w:pPr>
      <w:r>
        <w:rPr>
          <w:lang w:val="en-GB" w:eastAsia="ja-JP"/>
        </w:rPr>
        <w:t xml:space="preserve">Since the two configuration mechanisms are different, it is </w:t>
      </w:r>
      <w:r w:rsidR="00212A99">
        <w:rPr>
          <w:lang w:val="en-GB" w:eastAsia="ja-JP"/>
        </w:rPr>
        <w:t xml:space="preserve">possible </w:t>
      </w:r>
      <w:r>
        <w:rPr>
          <w:lang w:val="en-GB" w:eastAsia="ja-JP"/>
        </w:rPr>
        <w:t xml:space="preserve">that the UE would </w:t>
      </w:r>
      <w:r w:rsidR="00212A99">
        <w:rPr>
          <w:lang w:val="en-GB" w:eastAsia="ja-JP"/>
        </w:rPr>
        <w:t xml:space="preserve">be configured to perform inter-cell beam measurements on SSBs the UE has not detected and measured during the L3 measurements. Inter-cell beam measurements on such un-detected neighbours are not only resource consuming on the UE side: they are typically unnecessary since the un-detected neighbours are weak. In </w:t>
      </w:r>
      <w:r w:rsidR="00212A99">
        <w:rPr>
          <w:lang w:val="en-GB" w:eastAsia="ja-JP"/>
        </w:rPr>
        <w:lastRenderedPageBreak/>
        <w:t>fact, it is sufficient that the UE only reports the SS-RSRP for the inter-cell beam targets the UE anyway identified. We propose that this is the baseline behaviour for inter-cell beam measurements:</w:t>
      </w:r>
    </w:p>
    <w:p w14:paraId="488B4666" w14:textId="3F175866" w:rsidR="00212A99" w:rsidRDefault="00212A99" w:rsidP="00212A99">
      <w:pPr>
        <w:pStyle w:val="Proposal"/>
        <w:rPr>
          <w:lang w:val="en-GB" w:eastAsia="ja-JP"/>
        </w:rPr>
      </w:pPr>
      <w:bookmarkStart w:id="15" w:name="_Ref95375074"/>
      <w:bookmarkStart w:id="16" w:name="_Toc95748533"/>
      <w:r>
        <w:rPr>
          <w:lang w:val="en-GB" w:eastAsia="ja-JP"/>
        </w:rPr>
        <w:t>By default, the UE only reports L1-RSRP for the subset of configured SSBs it has detected during the L3 measurement process.</w:t>
      </w:r>
      <w:bookmarkEnd w:id="15"/>
      <w:bookmarkEnd w:id="16"/>
    </w:p>
    <w:p w14:paraId="1DCB3A01" w14:textId="40469FE7" w:rsidR="007232A6" w:rsidRDefault="007232A6" w:rsidP="007232A6">
      <w:pPr>
        <w:pStyle w:val="BodyText"/>
        <w:rPr>
          <w:lang w:val="en-GB" w:eastAsia="ja-JP"/>
        </w:rPr>
      </w:pPr>
      <w:r>
        <w:rPr>
          <w:lang w:val="en-GB" w:eastAsia="ja-JP"/>
        </w:rPr>
        <w:t>For configured inter-cell beam measurement targets the UE has not identified, the UE could include the lowest possible value in the RSRP range.</w:t>
      </w:r>
    </w:p>
    <w:p w14:paraId="7DA71798" w14:textId="1F7FEFE1" w:rsidR="00212A99" w:rsidRDefault="007232A6" w:rsidP="007232A6">
      <w:pPr>
        <w:pStyle w:val="BodyText"/>
        <w:rPr>
          <w:lang w:val="en-GB" w:eastAsia="ja-JP"/>
        </w:rPr>
      </w:pPr>
      <w:r>
        <w:rPr>
          <w:lang w:val="en-GB" w:eastAsia="ja-JP"/>
        </w:rPr>
        <w:t xml:space="preserve">A baseline UE would only support the reporting described in </w:t>
      </w:r>
      <w:r>
        <w:rPr>
          <w:lang w:val="en-GB" w:eastAsia="ja-JP"/>
        </w:rPr>
        <w:fldChar w:fldCharType="begin"/>
      </w:r>
      <w:r>
        <w:rPr>
          <w:lang w:val="en-GB" w:eastAsia="ja-JP"/>
        </w:rPr>
        <w:instrText xml:space="preserve"> REF _Ref95375074 \r \h </w:instrText>
      </w:r>
      <w:r>
        <w:rPr>
          <w:lang w:val="en-GB" w:eastAsia="ja-JP"/>
        </w:rPr>
      </w:r>
      <w:r>
        <w:rPr>
          <w:lang w:val="en-GB" w:eastAsia="ja-JP"/>
        </w:rPr>
        <w:fldChar w:fldCharType="separate"/>
      </w:r>
      <w:r w:rsidR="004F111A">
        <w:rPr>
          <w:lang w:val="en-GB" w:eastAsia="ja-JP"/>
        </w:rPr>
        <w:t>Proposal 10</w:t>
      </w:r>
      <w:r>
        <w:rPr>
          <w:lang w:val="en-GB" w:eastAsia="ja-JP"/>
        </w:rPr>
        <w:fldChar w:fldCharType="end"/>
      </w:r>
      <w:r>
        <w:rPr>
          <w:lang w:val="en-GB" w:eastAsia="ja-JP"/>
        </w:rPr>
        <w:t>, and more advanced reporting would be up to UE capability. Based on such capability reporting, the UE would be explicitly configured to perform measurements on all the configured inter-cell beam measurement targets:</w:t>
      </w:r>
    </w:p>
    <w:p w14:paraId="68AACE6B" w14:textId="11AAD4EB" w:rsidR="007232A6" w:rsidRPr="007232A6" w:rsidRDefault="007232A6" w:rsidP="007232A6">
      <w:pPr>
        <w:pStyle w:val="Proposal"/>
        <w:rPr>
          <w:lang w:val="en-GB" w:eastAsia="ja-JP"/>
        </w:rPr>
      </w:pPr>
      <w:bookmarkStart w:id="17" w:name="_Toc95748534"/>
      <w:r>
        <w:rPr>
          <w:lang w:val="en-GB" w:eastAsia="ja-JP"/>
        </w:rPr>
        <w:t>A UE that supports reporting on all configured neighbours can be RRC-configured to do so.</w:t>
      </w:r>
      <w:bookmarkEnd w:id="17"/>
      <w:r>
        <w:rPr>
          <w:lang w:val="en-GB" w:eastAsia="ja-JP"/>
        </w:rPr>
        <w:t xml:space="preserve"> </w:t>
      </w:r>
    </w:p>
    <w:p w14:paraId="2B0E953A" w14:textId="3849A429" w:rsidR="00066EA7" w:rsidRPr="0047456F" w:rsidRDefault="001B3009" w:rsidP="00066EA7">
      <w:pPr>
        <w:pStyle w:val="Heading2"/>
      </w:pPr>
      <w:r w:rsidRPr="0047456F">
        <w:t>2.3</w:t>
      </w:r>
      <w:r w:rsidRPr="0047456F">
        <w:tab/>
        <w:t>Remaining detail</w:t>
      </w:r>
      <w:r w:rsidR="00AA7DC1" w:rsidRPr="0047456F">
        <w:t>s</w:t>
      </w:r>
      <w:r w:rsidRPr="0047456F">
        <w:t xml:space="preserve"> on the TCI signalling mechanism design</w:t>
      </w:r>
    </w:p>
    <w:p w14:paraId="73D72644" w14:textId="0A0EFC39" w:rsidR="00066EA7" w:rsidRPr="00066EA7" w:rsidRDefault="00066EA7" w:rsidP="00066EA7">
      <w:pPr>
        <w:rPr>
          <w:lang w:val="en-GB" w:eastAsia="ja-JP"/>
        </w:rPr>
      </w:pPr>
      <w:r w:rsidRPr="0004052A">
        <w:rPr>
          <w:lang w:val="en-GB" w:eastAsia="ja-JP"/>
        </w:rPr>
        <w:t>In RAN1#1</w:t>
      </w:r>
      <w:r>
        <w:rPr>
          <w:lang w:val="en-GB" w:eastAsia="ja-JP"/>
        </w:rPr>
        <w:t>07</w:t>
      </w:r>
      <w:r w:rsidRPr="0004052A">
        <w:rPr>
          <w:lang w:val="en-GB" w:eastAsia="ja-JP"/>
        </w:rPr>
        <w:t>-e, the following agreement was made:</w:t>
      </w:r>
    </w:p>
    <w:p w14:paraId="34AE6285" w14:textId="77777777" w:rsidR="00066EA7" w:rsidRPr="0004052A" w:rsidRDefault="00066EA7" w:rsidP="00066EA7">
      <w:pPr>
        <w:rPr>
          <w:lang w:val="en-GB" w:eastAsia="ja-JP"/>
        </w:rPr>
      </w:pPr>
      <w:r w:rsidRPr="0004052A">
        <w:rPr>
          <w:noProof/>
        </w:rPr>
        <mc:AlternateContent>
          <mc:Choice Requires="wps">
            <w:drawing>
              <wp:inline distT="0" distB="0" distL="0" distR="0" wp14:anchorId="210650C6" wp14:editId="0A558836">
                <wp:extent cx="6120765" cy="2712260"/>
                <wp:effectExtent l="0" t="0" r="13335" b="19685"/>
                <wp:docPr id="1" name="Text Box 1"/>
                <wp:cNvGraphicFramePr/>
                <a:graphic xmlns:a="http://schemas.openxmlformats.org/drawingml/2006/main">
                  <a:graphicData uri="http://schemas.microsoft.com/office/word/2010/wordprocessingShape">
                    <wps:wsp>
                      <wps:cNvSpPr txBox="1"/>
                      <wps:spPr>
                        <a:xfrm>
                          <a:off x="0" y="0"/>
                          <a:ext cx="6120765" cy="2712260"/>
                        </a:xfrm>
                        <a:prstGeom prst="rect">
                          <a:avLst/>
                        </a:prstGeom>
                        <a:solidFill>
                          <a:schemeClr val="lt1"/>
                        </a:solidFill>
                        <a:ln w="6350">
                          <a:solidFill>
                            <a:prstClr val="black"/>
                          </a:solidFill>
                        </a:ln>
                      </wps:spPr>
                      <wps:txbx>
                        <w:txbxContent>
                          <w:p w14:paraId="3B05F689" w14:textId="77777777" w:rsidR="00066EA7" w:rsidRPr="00C06323" w:rsidRDefault="00066EA7" w:rsidP="00066EA7">
                            <w:pPr>
                              <w:snapToGrid w:val="0"/>
                              <w:spacing w:after="0"/>
                              <w:rPr>
                                <w:rFonts w:ascii="Times" w:eastAsia="Malgun Gothic" w:hAnsi="Times" w:cs="Times New Roman"/>
                                <w:b/>
                                <w:szCs w:val="24"/>
                                <w:lang w:val="en-GB" w:eastAsia="zh-CN"/>
                              </w:rPr>
                            </w:pPr>
                            <w:r w:rsidRPr="00C06323">
                              <w:rPr>
                                <w:rFonts w:ascii="Times" w:eastAsia="Malgun Gothic" w:hAnsi="Times" w:cs="Times New Roman"/>
                                <w:b/>
                                <w:szCs w:val="24"/>
                                <w:highlight w:val="green"/>
                                <w:lang w:val="en-GB" w:eastAsia="zh-CN"/>
                              </w:rPr>
                              <w:t>Agreement</w:t>
                            </w:r>
                          </w:p>
                          <w:p w14:paraId="6ECFBF9B" w14:textId="77777777" w:rsidR="00066EA7" w:rsidRPr="00C06323" w:rsidRDefault="00066EA7" w:rsidP="00066EA7">
                            <w:pPr>
                              <w:snapToGrid w:val="0"/>
                              <w:spacing w:after="0"/>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On Rel-17 DCI-based beam indication, regarding application time of the beam indication, the UE can assume that one beam application time (BAT) for a given SCS is configured for all the CCs configured with the common TCI state ID update,</w:t>
                            </w:r>
                          </w:p>
                          <w:p w14:paraId="32F69558"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Note: It was agreed that the BAT associated with the carrier(s) (hence BWP(s)/CC(s)) on which the beam indication applies is determined based on the carrier with the smallest SCS among the carrier(s) (hence BWP(s)/CC(s)) applying the beam indication</w:t>
                            </w:r>
                          </w:p>
                          <w:p w14:paraId="38CC2A82"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 xml:space="preserve">TBD (maintenance): whether a second configured BAT is also supported, </w:t>
                            </w:r>
                            <w:proofErr w:type="gramStart"/>
                            <w:r w:rsidRPr="00C06323">
                              <w:rPr>
                                <w:rFonts w:ascii="Times" w:eastAsia="Malgun Gothic" w:hAnsi="Times" w:cs="Times New Roman"/>
                                <w:szCs w:val="24"/>
                                <w:lang w:val="en-GB" w:eastAsia="zh-CN"/>
                              </w:rPr>
                              <w:t>e.g.</w:t>
                            </w:r>
                            <w:proofErr w:type="gramEnd"/>
                            <w:r w:rsidRPr="00C06323">
                              <w:rPr>
                                <w:rFonts w:ascii="Times" w:eastAsia="Malgun Gothic" w:hAnsi="Times" w:cs="Times New Roman"/>
                                <w:szCs w:val="24"/>
                                <w:lang w:val="en-GB" w:eastAsia="zh-CN"/>
                              </w:rPr>
                              <w:t xml:space="preserve"> for MPUE or inter-cell BM</w:t>
                            </w:r>
                          </w:p>
                          <w:p w14:paraId="0B879964"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 xml:space="preserve">The detailed </w:t>
                            </w:r>
                            <w:proofErr w:type="spellStart"/>
                            <w:r w:rsidRPr="00C06323">
                              <w:rPr>
                                <w:rFonts w:ascii="Times" w:eastAsia="Malgun Gothic" w:hAnsi="Times" w:cs="Times New Roman"/>
                                <w:szCs w:val="24"/>
                                <w:lang w:val="en-GB" w:eastAsia="zh-CN"/>
                              </w:rPr>
                              <w:t>signaling</w:t>
                            </w:r>
                            <w:proofErr w:type="spellEnd"/>
                            <w:r w:rsidRPr="00C06323">
                              <w:rPr>
                                <w:rFonts w:ascii="Times" w:eastAsia="Malgun Gothic" w:hAnsi="Times" w:cs="Times New Roman"/>
                                <w:szCs w:val="24"/>
                                <w:lang w:val="en-GB" w:eastAsia="zh-CN"/>
                              </w:rPr>
                              <w:t xml:space="preserve"> of the BAT is up to RAN2</w:t>
                            </w:r>
                          </w:p>
                          <w:p w14:paraId="7D3350C4" w14:textId="3C1DF2DD" w:rsidR="00066EA7" w:rsidRPr="00066EA7"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FFS: For CC(s) not configured with a common TCI state ID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0650C6" id="Text Box 1" o:spid="_x0000_s1031" type="#_x0000_t202" style="width:481.95pt;height:2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" fillcolor="white [3201]" strokeweight=".5pt">
                <v:textbox style="mso-fit-shape-to-text:t">
                  <w:txbxContent>
                    <w:p w14:paraId="3B05F689" w14:textId="77777777" w:rsidR="00066EA7" w:rsidRPr="00C06323" w:rsidRDefault="00066EA7" w:rsidP="00066EA7">
                      <w:pPr>
                        <w:snapToGrid w:val="0"/>
                        <w:spacing w:after="0"/>
                        <w:rPr>
                          <w:rFonts w:ascii="Times" w:eastAsia="Malgun Gothic" w:hAnsi="Times" w:cs="Times New Roman"/>
                          <w:b/>
                          <w:szCs w:val="24"/>
                          <w:lang w:val="en-GB" w:eastAsia="zh-CN"/>
                        </w:rPr>
                      </w:pPr>
                      <w:r w:rsidRPr="00C06323">
                        <w:rPr>
                          <w:rFonts w:ascii="Times" w:eastAsia="Malgun Gothic" w:hAnsi="Times" w:cs="Times New Roman"/>
                          <w:b/>
                          <w:szCs w:val="24"/>
                          <w:highlight w:val="green"/>
                          <w:lang w:val="en-GB" w:eastAsia="zh-CN"/>
                        </w:rPr>
                        <w:t>Agreement</w:t>
                      </w:r>
                    </w:p>
                    <w:p w14:paraId="6ECFBF9B" w14:textId="77777777" w:rsidR="00066EA7" w:rsidRPr="00C06323" w:rsidRDefault="00066EA7" w:rsidP="00066EA7">
                      <w:pPr>
                        <w:snapToGrid w:val="0"/>
                        <w:spacing w:after="0"/>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On Rel-17 DCI-based beam indication, regarding application time of the beam indication, the UE can assume that one beam application time (BAT) for a given SCS is configured for all the CCs configured with the common TCI state ID update,</w:t>
                      </w:r>
                    </w:p>
                    <w:p w14:paraId="32F69558"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Note: It was agreed that the BAT associated with the carrier(s) (hence BWP(s)/CC(s)) on which the beam indication applies is determined based on the carrier with the smallest SCS among the carrier(s) (hence BWP(s)/CC(s)) applying the beam indication</w:t>
                      </w:r>
                    </w:p>
                    <w:p w14:paraId="38CC2A82"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 xml:space="preserve">TBD (maintenance): whether a second configured BAT is also supported, </w:t>
                      </w:r>
                      <w:proofErr w:type="gramStart"/>
                      <w:r w:rsidRPr="00C06323">
                        <w:rPr>
                          <w:rFonts w:ascii="Times" w:eastAsia="Malgun Gothic" w:hAnsi="Times" w:cs="Times New Roman"/>
                          <w:szCs w:val="24"/>
                          <w:lang w:val="en-GB" w:eastAsia="zh-CN"/>
                        </w:rPr>
                        <w:t>e.g.</w:t>
                      </w:r>
                      <w:proofErr w:type="gramEnd"/>
                      <w:r w:rsidRPr="00C06323">
                        <w:rPr>
                          <w:rFonts w:ascii="Times" w:eastAsia="Malgun Gothic" w:hAnsi="Times" w:cs="Times New Roman"/>
                          <w:szCs w:val="24"/>
                          <w:lang w:val="en-GB" w:eastAsia="zh-CN"/>
                        </w:rPr>
                        <w:t xml:space="preserve"> for MPUE or inter-cell BM</w:t>
                      </w:r>
                    </w:p>
                    <w:p w14:paraId="0B879964" w14:textId="77777777" w:rsidR="00066EA7" w:rsidRPr="00C06323"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 xml:space="preserve">The detailed </w:t>
                      </w:r>
                      <w:proofErr w:type="spellStart"/>
                      <w:r w:rsidRPr="00C06323">
                        <w:rPr>
                          <w:rFonts w:ascii="Times" w:eastAsia="Malgun Gothic" w:hAnsi="Times" w:cs="Times New Roman"/>
                          <w:szCs w:val="24"/>
                          <w:lang w:val="en-GB" w:eastAsia="zh-CN"/>
                        </w:rPr>
                        <w:t>signaling</w:t>
                      </w:r>
                      <w:proofErr w:type="spellEnd"/>
                      <w:r w:rsidRPr="00C06323">
                        <w:rPr>
                          <w:rFonts w:ascii="Times" w:eastAsia="Malgun Gothic" w:hAnsi="Times" w:cs="Times New Roman"/>
                          <w:szCs w:val="24"/>
                          <w:lang w:val="en-GB" w:eastAsia="zh-CN"/>
                        </w:rPr>
                        <w:t xml:space="preserve"> of the BAT is up to RAN2</w:t>
                      </w:r>
                    </w:p>
                    <w:p w14:paraId="7D3350C4" w14:textId="3C1DF2DD" w:rsidR="00066EA7" w:rsidRPr="00066EA7" w:rsidRDefault="00066EA7" w:rsidP="00066EA7">
                      <w:pPr>
                        <w:numPr>
                          <w:ilvl w:val="0"/>
                          <w:numId w:val="42"/>
                        </w:numPr>
                        <w:snapToGrid w:val="0"/>
                        <w:spacing w:after="0" w:line="240" w:lineRule="auto"/>
                        <w:rPr>
                          <w:rFonts w:ascii="Times" w:eastAsia="Malgun Gothic" w:hAnsi="Times" w:cs="Times New Roman"/>
                          <w:szCs w:val="24"/>
                          <w:lang w:val="en-GB" w:eastAsia="zh-CN"/>
                        </w:rPr>
                      </w:pPr>
                      <w:r w:rsidRPr="00C06323">
                        <w:rPr>
                          <w:rFonts w:ascii="Times" w:eastAsia="Malgun Gothic" w:hAnsi="Times" w:cs="Times New Roman"/>
                          <w:szCs w:val="24"/>
                          <w:lang w:val="en-GB" w:eastAsia="zh-CN"/>
                        </w:rPr>
                        <w:t>FFS: For CC(s) not configured with a common TCI state ID update</w:t>
                      </w:r>
                    </w:p>
                  </w:txbxContent>
                </v:textbox>
                <w10:anchorlock/>
              </v:shape>
            </w:pict>
          </mc:Fallback>
        </mc:AlternateContent>
      </w:r>
    </w:p>
    <w:p w14:paraId="5F6378CD" w14:textId="2C4DA3C6" w:rsidR="00066EA7" w:rsidRDefault="00066EA7" w:rsidP="00066EA7">
      <w:pPr>
        <w:rPr>
          <w:lang w:val="en-GB" w:eastAsia="ja-JP"/>
        </w:rPr>
      </w:pPr>
      <w:r w:rsidRPr="00066EA7">
        <w:rPr>
          <w:lang w:val="en-GB" w:eastAsia="ja-JP"/>
        </w:rPr>
        <w:t xml:space="preserve">Here </w:t>
      </w:r>
      <w:r>
        <w:rPr>
          <w:lang w:val="en-GB" w:eastAsia="ja-JP"/>
        </w:rPr>
        <w:t>there are one TBD and one FFS. Regarding the issue of a second configured BAT, it is not possible to have a second BAT for MPUE, since the NW does not know when the UE switches panel.</w:t>
      </w:r>
      <w:r w:rsidR="0099565A">
        <w:rPr>
          <w:lang w:val="en-GB" w:eastAsia="ja-JP"/>
        </w:rPr>
        <w:t xml:space="preserve"> On the other hand, when performing inter-cell beam management, the NW knows that the TCI state is changed to another PCI. In this case, </w:t>
      </w:r>
      <w:r>
        <w:rPr>
          <w:lang w:val="en-GB" w:eastAsia="ja-JP"/>
        </w:rPr>
        <w:t>it may be beneficial to give the UE more time to update the beam</w:t>
      </w:r>
      <w:r w:rsidR="0099565A">
        <w:rPr>
          <w:lang w:val="en-GB" w:eastAsia="ja-JP"/>
        </w:rPr>
        <w:t xml:space="preserve">. In this case, the NW knows </w:t>
      </w:r>
    </w:p>
    <w:p w14:paraId="3404D599" w14:textId="04DE4AFB" w:rsidR="00066EA7" w:rsidRDefault="00066EA7" w:rsidP="00066EA7">
      <w:pPr>
        <w:pStyle w:val="Proposal"/>
        <w:rPr>
          <w:lang w:val="en-GB" w:eastAsia="ja-JP"/>
        </w:rPr>
      </w:pPr>
      <w:bookmarkStart w:id="18" w:name="_Toc95748535"/>
      <w:r>
        <w:rPr>
          <w:lang w:val="en-GB" w:eastAsia="ja-JP"/>
        </w:rPr>
        <w:t xml:space="preserve">Introduce a </w:t>
      </w:r>
      <w:r w:rsidR="0099565A">
        <w:rPr>
          <w:lang w:val="en-GB" w:eastAsia="ja-JP"/>
        </w:rPr>
        <w:t>second configured BAT to be applied when the indicated TCI changes to another PCI.</w:t>
      </w:r>
      <w:bookmarkEnd w:id="18"/>
    </w:p>
    <w:p w14:paraId="59AF657B" w14:textId="305F50B9" w:rsidR="0099565A" w:rsidRDefault="0099565A" w:rsidP="0099565A">
      <w:pPr>
        <w:pStyle w:val="BodyText"/>
        <w:rPr>
          <w:lang w:val="en-GB" w:eastAsia="ja-JP"/>
        </w:rPr>
      </w:pPr>
      <w:r>
        <w:rPr>
          <w:lang w:val="en-GB" w:eastAsia="ja-JP"/>
        </w:rPr>
        <w:t xml:space="preserve">Note that </w:t>
      </w:r>
      <w:r w:rsidR="0047456F">
        <w:rPr>
          <w:lang w:val="en-GB" w:eastAsia="ja-JP"/>
        </w:rPr>
        <w:t xml:space="preserve">if there is only a single RRC-parameter can be configured, </w:t>
      </w:r>
      <w:r>
        <w:rPr>
          <w:lang w:val="en-GB" w:eastAsia="ja-JP"/>
        </w:rPr>
        <w:t xml:space="preserve">it </w:t>
      </w:r>
      <w:r w:rsidR="0047456F">
        <w:rPr>
          <w:lang w:val="en-GB" w:eastAsia="ja-JP"/>
        </w:rPr>
        <w:t xml:space="preserve">would </w:t>
      </w:r>
      <w:r>
        <w:rPr>
          <w:lang w:val="en-GB" w:eastAsia="ja-JP"/>
        </w:rPr>
        <w:t xml:space="preserve">logically follow that there is </w:t>
      </w:r>
      <w:r w:rsidR="0047456F">
        <w:rPr>
          <w:lang w:val="en-GB" w:eastAsia="ja-JP"/>
        </w:rPr>
        <w:t xml:space="preserve">only one UE capability </w:t>
      </w:r>
      <w:r>
        <w:rPr>
          <w:lang w:val="en-GB" w:eastAsia="ja-JP"/>
        </w:rPr>
        <w:t>for the minimum beam application time:</w:t>
      </w:r>
    </w:p>
    <w:p w14:paraId="5EEF350E" w14:textId="1230C4B5" w:rsidR="0099565A" w:rsidRDefault="0099565A" w:rsidP="0099565A">
      <w:pPr>
        <w:pStyle w:val="Observation"/>
        <w:rPr>
          <w:lang w:val="en-GB"/>
        </w:rPr>
      </w:pPr>
      <w:bookmarkStart w:id="19" w:name="_Toc95748522"/>
      <w:r>
        <w:rPr>
          <w:lang w:val="en-GB"/>
        </w:rPr>
        <w:t xml:space="preserve">If there is </w:t>
      </w:r>
      <w:r w:rsidR="0047456F">
        <w:rPr>
          <w:lang w:val="en-GB"/>
        </w:rPr>
        <w:t xml:space="preserve">only one </w:t>
      </w:r>
      <w:r>
        <w:rPr>
          <w:lang w:val="en-GB"/>
        </w:rPr>
        <w:t>RRC-parameter for the beam application time</w:t>
      </w:r>
      <w:r w:rsidR="0047456F">
        <w:rPr>
          <w:lang w:val="en-GB"/>
        </w:rPr>
        <w:t>, there is only one UE capability (per SCS) for the minimum beam application time.</w:t>
      </w:r>
      <w:bookmarkEnd w:id="19"/>
      <w:r>
        <w:rPr>
          <w:lang w:val="en-GB"/>
        </w:rPr>
        <w:t xml:space="preserve"> </w:t>
      </w:r>
    </w:p>
    <w:p w14:paraId="2DBC38D8" w14:textId="77777777" w:rsidR="00CD1FC9" w:rsidRDefault="00CD1FC9" w:rsidP="00CD1FC9">
      <w:pPr>
        <w:pStyle w:val="BodyText"/>
        <w:rPr>
          <w:lang w:val="en-GB"/>
        </w:rPr>
      </w:pPr>
      <w:r>
        <w:rPr>
          <w:lang w:val="en-GB"/>
        </w:rPr>
        <w:t>The FFS concerns the BAT for CC(s) not configured with a common TCI state ID update. It should be clear that there are no restrictions for those CC(s). If there were any restrictions, what would be the meaning of configuring CC(s) with common TCI state ID update?</w:t>
      </w:r>
    </w:p>
    <w:p w14:paraId="7131C8E1" w14:textId="402D18E4" w:rsidR="00CD1FC9" w:rsidRDefault="00CD1FC9" w:rsidP="00CD1FC9">
      <w:pPr>
        <w:pStyle w:val="Proposal"/>
        <w:rPr>
          <w:lang w:val="en-GB" w:eastAsia="ja-JP"/>
        </w:rPr>
      </w:pPr>
      <w:bookmarkStart w:id="20" w:name="_Toc95748536"/>
      <w:r>
        <w:rPr>
          <w:lang w:val="en-GB"/>
        </w:rPr>
        <w:t>There are no restrictions of the BATs for CC(s) not configured with common TCI state ID update.</w:t>
      </w:r>
      <w:bookmarkEnd w:id="20"/>
    </w:p>
    <w:p w14:paraId="73F70E58" w14:textId="4C396BC8" w:rsidR="00CD1FC9" w:rsidRPr="00CD1FC9" w:rsidRDefault="00CD1FC9" w:rsidP="00CD1FC9">
      <w:pPr>
        <w:pStyle w:val="BodyText"/>
      </w:pPr>
      <w:r>
        <w:t xml:space="preserve">Note that RAN2 has proposed that BAT is configured in the PDSCH-Config, </w:t>
      </w:r>
      <w:proofErr w:type="spellStart"/>
      <w:r>
        <w:t>i.e</w:t>
      </w:r>
      <w:proofErr w:type="spellEnd"/>
      <w:r>
        <w:t>, per BWP.</w:t>
      </w:r>
    </w:p>
    <w:p w14:paraId="5CB11E55" w14:textId="4C003337" w:rsidR="001B3009" w:rsidRPr="00C2121B" w:rsidRDefault="001B3009" w:rsidP="001B3009">
      <w:pPr>
        <w:pStyle w:val="Heading2"/>
      </w:pPr>
      <w:r w:rsidRPr="00C2121B">
        <w:t>2.4</w:t>
      </w:r>
      <w:r w:rsidRPr="00C2121B">
        <w:tab/>
        <w:t xml:space="preserve">Fast UL panel switching and MPE mitigation </w:t>
      </w:r>
    </w:p>
    <w:p w14:paraId="3EB99F6B" w14:textId="1B07CE79" w:rsidR="004B40A3" w:rsidRPr="004B40A3" w:rsidRDefault="004B40A3" w:rsidP="004B40A3">
      <w:pPr>
        <w:rPr>
          <w:lang w:val="en-GB" w:eastAsia="ja-JP"/>
        </w:rPr>
      </w:pPr>
      <w:r w:rsidRPr="004B40A3">
        <w:rPr>
          <w:lang w:val="en-GB" w:eastAsia="ja-JP"/>
        </w:rPr>
        <w:t>In RAN</w:t>
      </w:r>
      <w:r>
        <w:rPr>
          <w:lang w:val="en-GB" w:eastAsia="ja-JP"/>
        </w:rPr>
        <w:t>1#107-e, the following working assumption was made:</w:t>
      </w:r>
    </w:p>
    <w:p w14:paraId="14B2AA10" w14:textId="77777777" w:rsidR="004B40A3" w:rsidRPr="0004052A" w:rsidRDefault="004B40A3" w:rsidP="004B40A3">
      <w:pPr>
        <w:rPr>
          <w:lang w:val="en-GB" w:eastAsia="ja-JP"/>
        </w:rPr>
      </w:pPr>
      <w:r w:rsidRPr="0004052A">
        <w:rPr>
          <w:noProof/>
        </w:rPr>
        <w:lastRenderedPageBreak/>
        <mc:AlternateContent>
          <mc:Choice Requires="wps">
            <w:drawing>
              <wp:inline distT="0" distB="0" distL="0" distR="0" wp14:anchorId="2532E568" wp14:editId="2C978619">
                <wp:extent cx="6120765" cy="2712260"/>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712260"/>
                        </a:xfrm>
                        <a:prstGeom prst="rect">
                          <a:avLst/>
                        </a:prstGeom>
                        <a:solidFill>
                          <a:schemeClr val="lt1"/>
                        </a:solidFill>
                        <a:ln w="6350">
                          <a:solidFill>
                            <a:prstClr val="black"/>
                          </a:solidFill>
                        </a:ln>
                      </wps:spPr>
                      <wps:txbx>
                        <w:txbxContent>
                          <w:p w14:paraId="3FBDB522" w14:textId="77777777" w:rsidR="004B40A3" w:rsidRPr="00D44920" w:rsidRDefault="004B40A3" w:rsidP="004B40A3">
                            <w:pPr>
                              <w:snapToGrid w:val="0"/>
                              <w:spacing w:after="0"/>
                              <w:jc w:val="both"/>
                              <w:rPr>
                                <w:rFonts w:ascii="Times" w:eastAsia="SimSun" w:hAnsi="Times" w:cs="Times"/>
                                <w:szCs w:val="20"/>
                                <w:highlight w:val="darkYellow"/>
                                <w:lang w:eastAsia="ko-KR"/>
                              </w:rPr>
                            </w:pPr>
                            <w:r w:rsidRPr="00D44920">
                              <w:rPr>
                                <w:rFonts w:ascii="Times" w:eastAsia="Calibri" w:hAnsi="Times" w:cs="Times"/>
                                <w:b/>
                                <w:bCs/>
                                <w:color w:val="1F497D"/>
                                <w:szCs w:val="20"/>
                                <w:highlight w:val="darkYellow"/>
                              </w:rPr>
                              <w:t>Working Assumption</w:t>
                            </w:r>
                          </w:p>
                          <w:p w14:paraId="6BDAB74F" w14:textId="77777777" w:rsidR="004B40A3" w:rsidRPr="00D44920" w:rsidRDefault="004B40A3" w:rsidP="004B40A3">
                            <w:pPr>
                              <w:snapToGrid w:val="0"/>
                              <w:spacing w:after="0"/>
                              <w:jc w:val="both"/>
                              <w:rPr>
                                <w:rFonts w:ascii="Times" w:eastAsia="Batang" w:hAnsi="Times" w:cs="Times"/>
                                <w:szCs w:val="20"/>
                                <w:lang w:val="en-GB"/>
                              </w:rPr>
                            </w:pPr>
                            <w:r w:rsidRPr="00D44920">
                              <w:rPr>
                                <w:rFonts w:ascii="Times" w:eastAsia="Batang" w:hAnsi="Times" w:cs="Times"/>
                                <w:szCs w:val="20"/>
                                <w:lang w:val="en-GB"/>
                              </w:rPr>
                              <w:t xml:space="preserve">Support the UE reporting a list of UE capability value sets </w:t>
                            </w:r>
                          </w:p>
                          <w:p w14:paraId="40B7495C" w14:textId="77777777" w:rsidR="004B40A3" w:rsidRPr="00D44920"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Each UE capability value set comprises the max supported number of SRS ports</w:t>
                            </w:r>
                          </w:p>
                          <w:p w14:paraId="52862B68" w14:textId="77777777" w:rsidR="004B40A3" w:rsidRPr="00D44920"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 xml:space="preserve">For any two different value sets, at least one capability value needs to be different </w:t>
                            </w:r>
                          </w:p>
                          <w:p w14:paraId="003C1E96" w14:textId="77777777" w:rsidR="004B40A3" w:rsidRPr="00D44920" w:rsidRDefault="004B40A3" w:rsidP="004B40A3">
                            <w:pPr>
                              <w:numPr>
                                <w:ilvl w:val="1"/>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FFS: If in addition also identical value sets are allowed.</w:t>
                            </w:r>
                          </w:p>
                          <w:p w14:paraId="1A6F5F28" w14:textId="12906C23" w:rsidR="004B40A3" w:rsidRPr="004B40A3"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Whether the UE capability value set can be common across all BWPs/CCs in same band or BC can be discussed in UE feature session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32E568" id="Text Box 2" o:spid="_x0000_s1032" type="#_x0000_t202" style="width:481.95pt;height:2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" fillcolor="white [3201]" strokeweight=".5pt">
                <v:textbox style="mso-fit-shape-to-text:t">
                  <w:txbxContent>
                    <w:p w14:paraId="3FBDB522" w14:textId="77777777" w:rsidR="004B40A3" w:rsidRPr="00D44920" w:rsidRDefault="004B40A3" w:rsidP="004B40A3">
                      <w:pPr>
                        <w:snapToGrid w:val="0"/>
                        <w:spacing w:after="0"/>
                        <w:jc w:val="both"/>
                        <w:rPr>
                          <w:rFonts w:ascii="Times" w:eastAsia="SimSun" w:hAnsi="Times" w:cs="Times"/>
                          <w:szCs w:val="20"/>
                          <w:highlight w:val="darkYellow"/>
                          <w:lang w:eastAsia="ko-KR"/>
                        </w:rPr>
                      </w:pPr>
                      <w:r w:rsidRPr="00D44920">
                        <w:rPr>
                          <w:rFonts w:ascii="Times" w:eastAsia="Calibri" w:hAnsi="Times" w:cs="Times"/>
                          <w:b/>
                          <w:bCs/>
                          <w:color w:val="1F497D"/>
                          <w:szCs w:val="20"/>
                          <w:highlight w:val="darkYellow"/>
                        </w:rPr>
                        <w:t>Working Assumption</w:t>
                      </w:r>
                    </w:p>
                    <w:p w14:paraId="6BDAB74F" w14:textId="77777777" w:rsidR="004B40A3" w:rsidRPr="00D44920" w:rsidRDefault="004B40A3" w:rsidP="004B40A3">
                      <w:pPr>
                        <w:snapToGrid w:val="0"/>
                        <w:spacing w:after="0"/>
                        <w:jc w:val="both"/>
                        <w:rPr>
                          <w:rFonts w:ascii="Times" w:eastAsia="Batang" w:hAnsi="Times" w:cs="Times"/>
                          <w:szCs w:val="20"/>
                          <w:lang w:val="en-GB"/>
                        </w:rPr>
                      </w:pPr>
                      <w:r w:rsidRPr="00D44920">
                        <w:rPr>
                          <w:rFonts w:ascii="Times" w:eastAsia="Batang" w:hAnsi="Times" w:cs="Times"/>
                          <w:szCs w:val="20"/>
                          <w:lang w:val="en-GB"/>
                        </w:rPr>
                        <w:t xml:space="preserve">Support the UE reporting a list of UE capability value sets </w:t>
                      </w:r>
                    </w:p>
                    <w:p w14:paraId="40B7495C" w14:textId="77777777" w:rsidR="004B40A3" w:rsidRPr="00D44920"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Each UE capability value set comprises the max supported number of SRS ports</w:t>
                      </w:r>
                    </w:p>
                    <w:p w14:paraId="52862B68" w14:textId="77777777" w:rsidR="004B40A3" w:rsidRPr="00D44920"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 xml:space="preserve">For any two different value sets, at least one capability value needs to be different </w:t>
                      </w:r>
                    </w:p>
                    <w:p w14:paraId="003C1E96" w14:textId="77777777" w:rsidR="004B40A3" w:rsidRPr="00D44920" w:rsidRDefault="004B40A3" w:rsidP="004B40A3">
                      <w:pPr>
                        <w:numPr>
                          <w:ilvl w:val="1"/>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FFS: If in addition also identical value sets are allowed.</w:t>
                      </w:r>
                    </w:p>
                    <w:p w14:paraId="1A6F5F28" w14:textId="12906C23" w:rsidR="004B40A3" w:rsidRPr="004B40A3" w:rsidRDefault="004B40A3" w:rsidP="004B40A3">
                      <w:pPr>
                        <w:numPr>
                          <w:ilvl w:val="0"/>
                          <w:numId w:val="42"/>
                        </w:numPr>
                        <w:snapToGrid w:val="0"/>
                        <w:spacing w:after="0" w:line="240" w:lineRule="auto"/>
                        <w:rPr>
                          <w:rFonts w:ascii="Times" w:eastAsia="Batang" w:hAnsi="Times" w:cs="Times New Roman"/>
                          <w:color w:val="000000"/>
                          <w:szCs w:val="28"/>
                          <w:lang w:val="en-GB" w:eastAsia="x-none"/>
                        </w:rPr>
                      </w:pPr>
                      <w:r w:rsidRPr="00D44920">
                        <w:rPr>
                          <w:rFonts w:ascii="Times" w:eastAsia="Batang" w:hAnsi="Times" w:cs="Times New Roman"/>
                          <w:color w:val="000000"/>
                          <w:szCs w:val="28"/>
                          <w:lang w:val="en-GB" w:eastAsia="x-none"/>
                        </w:rPr>
                        <w:t>Whether the UE capability value set can be common across all BWPs/CCs in same band or BC can be discussed in UE feature session</w:t>
                      </w:r>
                    </w:p>
                  </w:txbxContent>
                </v:textbox>
                <w10:anchorlock/>
              </v:shape>
            </w:pict>
          </mc:Fallback>
        </mc:AlternateContent>
      </w:r>
    </w:p>
    <w:p w14:paraId="4A2923C3" w14:textId="66C4D358" w:rsidR="004B40A3" w:rsidRDefault="004B40A3" w:rsidP="004B40A3">
      <w:pPr>
        <w:rPr>
          <w:lang w:val="en-GB" w:eastAsia="ja-JP"/>
        </w:rPr>
      </w:pPr>
      <w:r w:rsidRPr="004B40A3">
        <w:rPr>
          <w:lang w:val="en-GB" w:eastAsia="ja-JP"/>
        </w:rPr>
        <w:t xml:space="preserve">This working assumption relies on </w:t>
      </w:r>
      <w:proofErr w:type="gramStart"/>
      <w:r w:rsidRPr="004B40A3">
        <w:rPr>
          <w:lang w:val="en-GB" w:eastAsia="ja-JP"/>
        </w:rPr>
        <w:t xml:space="preserve">that subsequent </w:t>
      </w:r>
      <w:r>
        <w:rPr>
          <w:lang w:val="en-GB" w:eastAsia="ja-JP"/>
        </w:rPr>
        <w:t>agreements</w:t>
      </w:r>
      <w:proofErr w:type="gramEnd"/>
      <w:r>
        <w:rPr>
          <w:lang w:val="en-GB" w:eastAsia="ja-JP"/>
        </w:rPr>
        <w:t xml:space="preserve"> are made regarding the related functionality. As of now, the supporting functionality is not settled, so the working assumption cannot be confirmed:</w:t>
      </w:r>
    </w:p>
    <w:p w14:paraId="74B355DF" w14:textId="56669962" w:rsidR="004B40A3" w:rsidRDefault="004B40A3" w:rsidP="000927C5">
      <w:pPr>
        <w:pStyle w:val="Proposal"/>
        <w:rPr>
          <w:lang w:val="en-GB" w:eastAsia="ja-JP"/>
        </w:rPr>
      </w:pPr>
      <w:bookmarkStart w:id="21" w:name="_Toc95748537"/>
      <w:r w:rsidRPr="004B40A3">
        <w:rPr>
          <w:lang w:val="en-GB" w:eastAsia="ja-JP"/>
        </w:rPr>
        <w:t>Do not confirm the working assumption.</w:t>
      </w:r>
      <w:bookmarkEnd w:id="21"/>
    </w:p>
    <w:p w14:paraId="3917354B" w14:textId="37734682" w:rsidR="004B40A3" w:rsidRDefault="004B40A3" w:rsidP="004B40A3">
      <w:pPr>
        <w:pStyle w:val="BodyText"/>
        <w:rPr>
          <w:lang w:val="en-GB" w:eastAsia="ja-JP"/>
        </w:rPr>
      </w:pPr>
      <w:r>
        <w:rPr>
          <w:lang w:val="en-GB" w:eastAsia="ja-JP"/>
        </w:rPr>
        <w:t>Even if the working assumption is later confirmed, the FFS should be removed. Reporting identical values is not consistent with the motivation of the feature, and could be interpreted as a UE panel identity, which we are strongly opposing, since there are no benefits of that.</w:t>
      </w:r>
    </w:p>
    <w:p w14:paraId="5C64BD5F" w14:textId="6C4E1AD8" w:rsidR="004B40A3" w:rsidRDefault="004B40A3" w:rsidP="004B40A3">
      <w:pPr>
        <w:rPr>
          <w:lang w:val="en-GB" w:eastAsia="ja-JP"/>
        </w:rPr>
      </w:pPr>
      <w:r w:rsidRPr="004B40A3">
        <w:rPr>
          <w:lang w:val="en-GB" w:eastAsia="ja-JP"/>
        </w:rPr>
        <w:t>In RAN</w:t>
      </w:r>
      <w:r>
        <w:rPr>
          <w:lang w:val="en-GB" w:eastAsia="ja-JP"/>
        </w:rPr>
        <w:t>1#107-e, the following agreement was reached:</w:t>
      </w:r>
    </w:p>
    <w:p w14:paraId="66832953" w14:textId="77777777" w:rsidR="004B40A3" w:rsidRPr="0004052A" w:rsidRDefault="004B40A3" w:rsidP="004B40A3">
      <w:pPr>
        <w:rPr>
          <w:lang w:val="en-GB" w:eastAsia="ja-JP"/>
        </w:rPr>
      </w:pPr>
      <w:r w:rsidRPr="0004052A">
        <w:rPr>
          <w:noProof/>
        </w:rPr>
        <mc:AlternateContent>
          <mc:Choice Requires="wps">
            <w:drawing>
              <wp:inline distT="0" distB="0" distL="0" distR="0" wp14:anchorId="50D531EA" wp14:editId="1DE8B2E7">
                <wp:extent cx="6120765" cy="2712260"/>
                <wp:effectExtent l="0" t="0" r="13335" b="19685"/>
                <wp:docPr id="3" name="Text Box 3"/>
                <wp:cNvGraphicFramePr/>
                <a:graphic xmlns:a="http://schemas.openxmlformats.org/drawingml/2006/main">
                  <a:graphicData uri="http://schemas.microsoft.com/office/word/2010/wordprocessingShape">
                    <wps:wsp>
                      <wps:cNvSpPr txBox="1"/>
                      <wps:spPr>
                        <a:xfrm>
                          <a:off x="0" y="0"/>
                          <a:ext cx="6120765" cy="2712260"/>
                        </a:xfrm>
                        <a:prstGeom prst="rect">
                          <a:avLst/>
                        </a:prstGeom>
                        <a:solidFill>
                          <a:schemeClr val="lt1"/>
                        </a:solidFill>
                        <a:ln w="6350">
                          <a:solidFill>
                            <a:prstClr val="black"/>
                          </a:solidFill>
                        </a:ln>
                      </wps:spPr>
                      <wps:txbx>
                        <w:txbxContent>
                          <w:p w14:paraId="30A07741" w14:textId="77777777" w:rsidR="004B40A3" w:rsidRPr="00D44920" w:rsidRDefault="004B40A3" w:rsidP="004B40A3">
                            <w:pPr>
                              <w:spacing w:after="0"/>
                              <w:rPr>
                                <w:rFonts w:ascii="Times" w:eastAsia="Malgun Gothic" w:hAnsi="Times" w:cs="Times"/>
                                <w:highlight w:val="green"/>
                                <w:lang w:eastAsia="ko-KR"/>
                              </w:rPr>
                            </w:pPr>
                            <w:r w:rsidRPr="00D44920">
                              <w:rPr>
                                <w:rFonts w:ascii="Times" w:eastAsia="Calibri" w:hAnsi="Times" w:cs="Times"/>
                                <w:b/>
                                <w:bCs/>
                                <w:highlight w:val="green"/>
                              </w:rPr>
                              <w:t>Agreement</w:t>
                            </w:r>
                          </w:p>
                          <w:p w14:paraId="170BD334" w14:textId="77777777" w:rsidR="004B40A3" w:rsidRPr="00D44920" w:rsidRDefault="004B40A3" w:rsidP="004B40A3">
                            <w:pPr>
                              <w:spacing w:after="0"/>
                              <w:rPr>
                                <w:rFonts w:ascii="Times" w:eastAsia="Calibri" w:hAnsi="Times" w:cs="Times"/>
                              </w:rPr>
                            </w:pPr>
                            <w:r w:rsidRPr="00D44920">
                              <w:rPr>
                                <w:rFonts w:ascii="Times" w:eastAsia="Calibri" w:hAnsi="Times" w:cs="Times"/>
                              </w:rPr>
                              <w:t>On Rel.17 enhancements to facilitate UE -initiated panel activation and selection via UE reporting a list of UE capability value sets, t</w:t>
                            </w:r>
                            <w:r w:rsidRPr="00D44920">
                              <w:rPr>
                                <w:rFonts w:ascii="Times" w:eastAsia="Calibri" w:hAnsi="Times" w:cs="Times"/>
                                <w:lang w:val="en-GB"/>
                              </w:rPr>
                              <w:t>he correspondence between each reported CSI-RS and/or SSB resource index and one of the UE capability value sets in the reported list is determined by the UE (analogous to Rel-15/16) and is informed to NW in a beam reporting instance. </w:t>
                            </w:r>
                          </w:p>
                          <w:p w14:paraId="3BB23C85"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 xml:space="preserve">The Rel-15/16 beam reporting framework is used, </w:t>
                            </w:r>
                            <w:proofErr w:type="gramStart"/>
                            <w:r w:rsidRPr="00D44920">
                              <w:rPr>
                                <w:rFonts w:ascii="Times" w:eastAsia="Batang" w:hAnsi="Times" w:cs="Times"/>
                                <w:lang w:val="en-GB"/>
                              </w:rPr>
                              <w:t>i.e.</w:t>
                            </w:r>
                            <w:proofErr w:type="gramEnd"/>
                            <w:r w:rsidRPr="00D44920">
                              <w:rPr>
                                <w:rFonts w:ascii="Times" w:eastAsia="Batang" w:hAnsi="Times" w:cs="Times"/>
                                <w:lang w:val="en-GB"/>
                              </w:rPr>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D44920">
                              <w:rPr>
                                <w:rFonts w:ascii="Times" w:eastAsia="Batang" w:hAnsi="Times" w:cs="Times"/>
                                <w:strike/>
                                <w:lang w:val="en-GB"/>
                              </w:rPr>
                              <w:t xml:space="preserve"> </w:t>
                            </w:r>
                            <w:r w:rsidRPr="00D44920">
                              <w:rPr>
                                <w:rFonts w:ascii="Times" w:eastAsia="Batang" w:hAnsi="Times" w:cs="Times"/>
                                <w:lang w:val="en-GB"/>
                              </w:rPr>
                              <w:t>options:</w:t>
                            </w:r>
                          </w:p>
                          <w:p w14:paraId="3FC890DC" w14:textId="77777777" w:rsidR="004B40A3" w:rsidRPr="00D44920" w:rsidRDefault="004B40A3" w:rsidP="004B40A3">
                            <w:pPr>
                              <w:numPr>
                                <w:ilvl w:val="1"/>
                                <w:numId w:val="42"/>
                              </w:numPr>
                              <w:shd w:val="clear" w:color="auto" w:fill="FFFFFF"/>
                              <w:spacing w:after="0" w:line="240" w:lineRule="auto"/>
                              <w:rPr>
                                <w:rFonts w:ascii="Times" w:eastAsia="Batang" w:hAnsi="Times" w:cs="Times"/>
                                <w:lang w:val="en-GB"/>
                              </w:rPr>
                            </w:pPr>
                            <w:r w:rsidRPr="00D44920">
                              <w:rPr>
                                <w:rFonts w:ascii="Times" w:eastAsia="Batang" w:hAnsi="Times" w:cs="Times"/>
                                <w:lang w:val="en-GB"/>
                              </w:rPr>
                              <w:t>Option 1: UE can report one index for all the reported CRIs/SSBRIs in one beam reporting</w:t>
                            </w:r>
                          </w:p>
                          <w:p w14:paraId="0C6A19E6" w14:textId="77777777" w:rsidR="004B40A3" w:rsidRPr="00D44920" w:rsidRDefault="004B40A3" w:rsidP="004B40A3">
                            <w:pPr>
                              <w:numPr>
                                <w:ilvl w:val="1"/>
                                <w:numId w:val="42"/>
                              </w:numPr>
                              <w:shd w:val="clear" w:color="auto" w:fill="FFFFFF"/>
                              <w:spacing w:after="0" w:line="240" w:lineRule="auto"/>
                              <w:rPr>
                                <w:rFonts w:ascii="Times" w:eastAsia="Batang" w:hAnsi="Times" w:cs="Times"/>
                                <w:lang w:val="en-GB"/>
                              </w:rPr>
                            </w:pPr>
                            <w:r w:rsidRPr="00D44920">
                              <w:rPr>
                                <w:rFonts w:ascii="Times" w:eastAsia="Batang" w:hAnsi="Times" w:cs="Times"/>
                                <w:lang w:val="en-GB"/>
                              </w:rPr>
                              <w:t>Option 2: UE can report one index for each reported CRI/SSBRI in one beam reporting.</w:t>
                            </w:r>
                          </w:p>
                          <w:p w14:paraId="5D703517"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whether/how to take DL-only panel into account in the report</w:t>
                            </w:r>
                          </w:p>
                          <w:p w14:paraId="34B19776"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 xml:space="preserve">FFS: Time-domain behaviour, </w:t>
                            </w:r>
                            <w:proofErr w:type="gramStart"/>
                            <w:r w:rsidRPr="00D44920">
                              <w:rPr>
                                <w:rFonts w:ascii="Times" w:eastAsia="Batang" w:hAnsi="Times" w:cs="Times"/>
                                <w:lang w:val="en-GB"/>
                              </w:rPr>
                              <w:t>e.g.</w:t>
                            </w:r>
                            <w:proofErr w:type="gramEnd"/>
                            <w:r w:rsidRPr="00D44920">
                              <w:rPr>
                                <w:rFonts w:ascii="Times" w:eastAsia="Batang" w:hAnsi="Times" w:cs="Times"/>
                                <w:lang w:val="en-GB"/>
                              </w:rPr>
                              <w:t xml:space="preserve"> the support periodic, semi-persistent, and aperiodic reporting </w:t>
                            </w:r>
                          </w:p>
                          <w:p w14:paraId="1C0C571F"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Semi-persistent and/or aperiodic reporting is triggered only when periodic reporting is configured</w:t>
                            </w:r>
                          </w:p>
                          <w:p w14:paraId="2076FE28"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w:t>
                            </w:r>
                            <w:r w:rsidRPr="00D44920">
                              <w:rPr>
                                <w:rFonts w:ascii="Times" w:eastAsia="Batang" w:hAnsi="Times" w:cs="Times"/>
                                <w:b/>
                                <w:highlight w:val="darkYellow"/>
                                <w:lang w:val="en-GB"/>
                              </w:rPr>
                              <w:t>Working assumptions</w:t>
                            </w:r>
                            <w:r w:rsidRPr="00D44920">
                              <w:rPr>
                                <w:rFonts w:ascii="Times" w:eastAsia="Batang" w:hAnsi="Times" w:cs="Times"/>
                                <w:lang w:val="en-GB"/>
                              </w:rPr>
                              <w:t xml:space="preserve">): Support acknowledgement mechanism of the reported correspondence from NW to UE, which doesn't preclude reusing/reinterpreting existing </w:t>
                            </w:r>
                            <w:proofErr w:type="spellStart"/>
                            <w:r w:rsidRPr="00D44920">
                              <w:rPr>
                                <w:rFonts w:ascii="Times" w:eastAsia="Batang" w:hAnsi="Times" w:cs="Times"/>
                                <w:lang w:val="en-GB"/>
                              </w:rPr>
                              <w:t>signaling</w:t>
                            </w:r>
                            <w:proofErr w:type="spellEnd"/>
                            <w:r w:rsidRPr="00D44920">
                              <w:rPr>
                                <w:rFonts w:ascii="Times" w:eastAsia="Batang" w:hAnsi="Times" w:cs="Times"/>
                                <w:lang w:val="en-GB"/>
                              </w:rPr>
                              <w:t>/procedure</w:t>
                            </w:r>
                          </w:p>
                          <w:p w14:paraId="1000F95C"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(maintenance): the application time for the reported correspondence (if any), the exact acknowledgement mechanism and whether spec impact is needed, </w:t>
                            </w:r>
                            <w:proofErr w:type="gramStart"/>
                            <w:r w:rsidRPr="00D44920">
                              <w:rPr>
                                <w:rFonts w:ascii="Times" w:eastAsia="Batang" w:hAnsi="Times" w:cs="Times"/>
                                <w:lang w:val="en-GB"/>
                              </w:rPr>
                              <w:t>e.g.</w:t>
                            </w:r>
                            <w:proofErr w:type="gramEnd"/>
                            <w:r w:rsidRPr="00D44920">
                              <w:rPr>
                                <w:rFonts w:ascii="Times" w:eastAsia="Batang" w:hAnsi="Times" w:cs="Times"/>
                                <w:lang w:val="en-GB"/>
                              </w:rPr>
                              <w:t xml:space="preserve"> based on TCI state update, BFR response like mechanism, including the application time for the reported correspondence, if any</w:t>
                            </w:r>
                          </w:p>
                          <w:p w14:paraId="1EE129F5" w14:textId="531B4877" w:rsidR="004B40A3" w:rsidRPr="004B40A3"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No new DCI format and no new RNTI are introduced for this function.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D531EA" id="Text Box 3" o:spid="_x0000_s1033" type="#_x0000_t202" style="width:481.95pt;height:2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" fillcolor="white [3201]" strokeweight=".5pt">
                <v:textbox style="mso-fit-shape-to-text:t">
                  <w:txbxContent>
                    <w:p w14:paraId="30A07741" w14:textId="77777777" w:rsidR="004B40A3" w:rsidRPr="00D44920" w:rsidRDefault="004B40A3" w:rsidP="004B40A3">
                      <w:pPr>
                        <w:spacing w:after="0"/>
                        <w:rPr>
                          <w:rFonts w:ascii="Times" w:eastAsia="Malgun Gothic" w:hAnsi="Times" w:cs="Times"/>
                          <w:highlight w:val="green"/>
                          <w:lang w:eastAsia="ko-KR"/>
                        </w:rPr>
                      </w:pPr>
                      <w:r w:rsidRPr="00D44920">
                        <w:rPr>
                          <w:rFonts w:ascii="Times" w:eastAsia="Calibri" w:hAnsi="Times" w:cs="Times"/>
                          <w:b/>
                          <w:bCs/>
                          <w:highlight w:val="green"/>
                        </w:rPr>
                        <w:t>Agreement</w:t>
                      </w:r>
                    </w:p>
                    <w:p w14:paraId="170BD334" w14:textId="77777777" w:rsidR="004B40A3" w:rsidRPr="00D44920" w:rsidRDefault="004B40A3" w:rsidP="004B40A3">
                      <w:pPr>
                        <w:spacing w:after="0"/>
                        <w:rPr>
                          <w:rFonts w:ascii="Times" w:eastAsia="Calibri" w:hAnsi="Times" w:cs="Times"/>
                        </w:rPr>
                      </w:pPr>
                      <w:r w:rsidRPr="00D44920">
                        <w:rPr>
                          <w:rFonts w:ascii="Times" w:eastAsia="Calibri" w:hAnsi="Times" w:cs="Times"/>
                        </w:rPr>
                        <w:t>On Rel.17 enhancements to facilitate UE -initiated panel activation and selection via UE reporting a list of UE capability value sets, t</w:t>
                      </w:r>
                      <w:r w:rsidRPr="00D44920">
                        <w:rPr>
                          <w:rFonts w:ascii="Times" w:eastAsia="Calibri" w:hAnsi="Times" w:cs="Times"/>
                          <w:lang w:val="en-GB"/>
                        </w:rPr>
                        <w:t>he correspondence between each reported CSI-RS and/or SSB resource index and one of the UE capability value sets in the reported list is determined by the UE (analogous to Rel-15/16) and is informed to NW in a beam reporting instance. </w:t>
                      </w:r>
                    </w:p>
                    <w:p w14:paraId="3BB23C85"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 xml:space="preserve">The Rel-15/16 beam reporting framework is used, </w:t>
                      </w:r>
                      <w:proofErr w:type="gramStart"/>
                      <w:r w:rsidRPr="00D44920">
                        <w:rPr>
                          <w:rFonts w:ascii="Times" w:eastAsia="Batang" w:hAnsi="Times" w:cs="Times"/>
                          <w:lang w:val="en-GB"/>
                        </w:rPr>
                        <w:t>i.e.</w:t>
                      </w:r>
                      <w:proofErr w:type="gramEnd"/>
                      <w:r w:rsidRPr="00D44920">
                        <w:rPr>
                          <w:rFonts w:ascii="Times" w:eastAsia="Batang" w:hAnsi="Times" w:cs="Times"/>
                          <w:lang w:val="en-GB"/>
                        </w:rPr>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D44920">
                        <w:rPr>
                          <w:rFonts w:ascii="Times" w:eastAsia="Batang" w:hAnsi="Times" w:cs="Times"/>
                          <w:strike/>
                          <w:lang w:val="en-GB"/>
                        </w:rPr>
                        <w:t xml:space="preserve"> </w:t>
                      </w:r>
                      <w:r w:rsidRPr="00D44920">
                        <w:rPr>
                          <w:rFonts w:ascii="Times" w:eastAsia="Batang" w:hAnsi="Times" w:cs="Times"/>
                          <w:lang w:val="en-GB"/>
                        </w:rPr>
                        <w:t>options:</w:t>
                      </w:r>
                    </w:p>
                    <w:p w14:paraId="3FC890DC" w14:textId="77777777" w:rsidR="004B40A3" w:rsidRPr="00D44920" w:rsidRDefault="004B40A3" w:rsidP="004B40A3">
                      <w:pPr>
                        <w:numPr>
                          <w:ilvl w:val="1"/>
                          <w:numId w:val="42"/>
                        </w:numPr>
                        <w:shd w:val="clear" w:color="auto" w:fill="FFFFFF"/>
                        <w:spacing w:after="0" w:line="240" w:lineRule="auto"/>
                        <w:rPr>
                          <w:rFonts w:ascii="Times" w:eastAsia="Batang" w:hAnsi="Times" w:cs="Times"/>
                          <w:lang w:val="en-GB"/>
                        </w:rPr>
                      </w:pPr>
                      <w:r w:rsidRPr="00D44920">
                        <w:rPr>
                          <w:rFonts w:ascii="Times" w:eastAsia="Batang" w:hAnsi="Times" w:cs="Times"/>
                          <w:lang w:val="en-GB"/>
                        </w:rPr>
                        <w:t>Option 1: UE can report one index for all the reported CRIs/SSBRIs in one beam reporting</w:t>
                      </w:r>
                    </w:p>
                    <w:p w14:paraId="0C6A19E6" w14:textId="77777777" w:rsidR="004B40A3" w:rsidRPr="00D44920" w:rsidRDefault="004B40A3" w:rsidP="004B40A3">
                      <w:pPr>
                        <w:numPr>
                          <w:ilvl w:val="1"/>
                          <w:numId w:val="42"/>
                        </w:numPr>
                        <w:shd w:val="clear" w:color="auto" w:fill="FFFFFF"/>
                        <w:spacing w:after="0" w:line="240" w:lineRule="auto"/>
                        <w:rPr>
                          <w:rFonts w:ascii="Times" w:eastAsia="Batang" w:hAnsi="Times" w:cs="Times"/>
                          <w:lang w:val="en-GB"/>
                        </w:rPr>
                      </w:pPr>
                      <w:r w:rsidRPr="00D44920">
                        <w:rPr>
                          <w:rFonts w:ascii="Times" w:eastAsia="Batang" w:hAnsi="Times" w:cs="Times"/>
                          <w:lang w:val="en-GB"/>
                        </w:rPr>
                        <w:t>Option 2: UE can report one index for each reported CRI/SSBRI in one beam reporting.</w:t>
                      </w:r>
                    </w:p>
                    <w:p w14:paraId="5D703517"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whether/how to take DL-only panel into account in the report</w:t>
                      </w:r>
                    </w:p>
                    <w:p w14:paraId="34B19776"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 xml:space="preserve">FFS: Time-domain behaviour, </w:t>
                      </w:r>
                      <w:proofErr w:type="gramStart"/>
                      <w:r w:rsidRPr="00D44920">
                        <w:rPr>
                          <w:rFonts w:ascii="Times" w:eastAsia="Batang" w:hAnsi="Times" w:cs="Times"/>
                          <w:lang w:val="en-GB"/>
                        </w:rPr>
                        <w:t>e.g.</w:t>
                      </w:r>
                      <w:proofErr w:type="gramEnd"/>
                      <w:r w:rsidRPr="00D44920">
                        <w:rPr>
                          <w:rFonts w:ascii="Times" w:eastAsia="Batang" w:hAnsi="Times" w:cs="Times"/>
                          <w:lang w:val="en-GB"/>
                        </w:rPr>
                        <w:t xml:space="preserve"> the support periodic, semi-persistent, and aperiodic reporting </w:t>
                      </w:r>
                    </w:p>
                    <w:p w14:paraId="1C0C571F"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Semi-persistent and/or aperiodic reporting is triggered only when periodic reporting is configured</w:t>
                      </w:r>
                    </w:p>
                    <w:p w14:paraId="2076FE28" w14:textId="77777777" w:rsidR="004B40A3" w:rsidRPr="00D44920" w:rsidRDefault="004B40A3" w:rsidP="004B40A3">
                      <w:pPr>
                        <w:numPr>
                          <w:ilvl w:val="0"/>
                          <w:numId w:val="42"/>
                        </w:numPr>
                        <w:spacing w:after="0" w:line="240" w:lineRule="auto"/>
                        <w:rPr>
                          <w:rFonts w:ascii="Times" w:eastAsia="Batang" w:hAnsi="Times" w:cs="Times"/>
                          <w:lang w:val="en-GB"/>
                        </w:rPr>
                      </w:pPr>
                      <w:r w:rsidRPr="00D44920">
                        <w:rPr>
                          <w:rFonts w:ascii="Times" w:eastAsia="Batang" w:hAnsi="Times" w:cs="Times"/>
                          <w:lang w:val="en-GB"/>
                        </w:rPr>
                        <w:t>(</w:t>
                      </w:r>
                      <w:r w:rsidRPr="00D44920">
                        <w:rPr>
                          <w:rFonts w:ascii="Times" w:eastAsia="Batang" w:hAnsi="Times" w:cs="Times"/>
                          <w:b/>
                          <w:highlight w:val="darkYellow"/>
                          <w:lang w:val="en-GB"/>
                        </w:rPr>
                        <w:t>Working assumptions</w:t>
                      </w:r>
                      <w:r w:rsidRPr="00D44920">
                        <w:rPr>
                          <w:rFonts w:ascii="Times" w:eastAsia="Batang" w:hAnsi="Times" w:cs="Times"/>
                          <w:lang w:val="en-GB"/>
                        </w:rPr>
                        <w:t xml:space="preserve">): Support acknowledgement mechanism of the reported correspondence from NW to UE, which doesn't preclude reusing/reinterpreting existing </w:t>
                      </w:r>
                      <w:proofErr w:type="spellStart"/>
                      <w:r w:rsidRPr="00D44920">
                        <w:rPr>
                          <w:rFonts w:ascii="Times" w:eastAsia="Batang" w:hAnsi="Times" w:cs="Times"/>
                          <w:lang w:val="en-GB"/>
                        </w:rPr>
                        <w:t>signaling</w:t>
                      </w:r>
                      <w:proofErr w:type="spellEnd"/>
                      <w:r w:rsidRPr="00D44920">
                        <w:rPr>
                          <w:rFonts w:ascii="Times" w:eastAsia="Batang" w:hAnsi="Times" w:cs="Times"/>
                          <w:lang w:val="en-GB"/>
                        </w:rPr>
                        <w:t>/procedure</w:t>
                      </w:r>
                    </w:p>
                    <w:p w14:paraId="1000F95C" w14:textId="77777777" w:rsidR="004B40A3" w:rsidRPr="00D44920"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FFS (maintenance): the application time for the reported correspondence (if any), the exact acknowledgement mechanism and whether spec impact is needed, </w:t>
                      </w:r>
                      <w:proofErr w:type="gramStart"/>
                      <w:r w:rsidRPr="00D44920">
                        <w:rPr>
                          <w:rFonts w:ascii="Times" w:eastAsia="Batang" w:hAnsi="Times" w:cs="Times"/>
                          <w:lang w:val="en-GB"/>
                        </w:rPr>
                        <w:t>e.g.</w:t>
                      </w:r>
                      <w:proofErr w:type="gramEnd"/>
                      <w:r w:rsidRPr="00D44920">
                        <w:rPr>
                          <w:rFonts w:ascii="Times" w:eastAsia="Batang" w:hAnsi="Times" w:cs="Times"/>
                          <w:lang w:val="en-GB"/>
                        </w:rPr>
                        <w:t xml:space="preserve"> based on TCI state update, BFR response like mechanism, including the application time for the reported correspondence, if any</w:t>
                      </w:r>
                    </w:p>
                    <w:p w14:paraId="1EE129F5" w14:textId="531B4877" w:rsidR="004B40A3" w:rsidRPr="004B40A3" w:rsidRDefault="004B40A3" w:rsidP="004B40A3">
                      <w:pPr>
                        <w:numPr>
                          <w:ilvl w:val="1"/>
                          <w:numId w:val="42"/>
                        </w:numPr>
                        <w:spacing w:after="0" w:line="240" w:lineRule="auto"/>
                        <w:rPr>
                          <w:rFonts w:ascii="Times" w:eastAsia="Batang" w:hAnsi="Times" w:cs="Times"/>
                          <w:lang w:val="en-GB"/>
                        </w:rPr>
                      </w:pPr>
                      <w:r w:rsidRPr="00D44920">
                        <w:rPr>
                          <w:rFonts w:ascii="Times" w:eastAsia="Batang" w:hAnsi="Times" w:cs="Times"/>
                          <w:lang w:val="en-GB"/>
                        </w:rPr>
                        <w:t>No new DCI format and no new RNTI are introduced for this function.</w:t>
                      </w:r>
                    </w:p>
                  </w:txbxContent>
                </v:textbox>
                <w10:anchorlock/>
              </v:shape>
            </w:pict>
          </mc:Fallback>
        </mc:AlternateContent>
      </w:r>
    </w:p>
    <w:p w14:paraId="19F7EB8E" w14:textId="5E655924" w:rsidR="0035347A" w:rsidRDefault="004B40A3" w:rsidP="004B40A3">
      <w:pPr>
        <w:pStyle w:val="BodyText"/>
        <w:rPr>
          <w:lang w:val="en-GB" w:eastAsia="ja-JP"/>
        </w:rPr>
      </w:pPr>
      <w:r>
        <w:rPr>
          <w:lang w:val="en-GB" w:eastAsia="ja-JP"/>
        </w:rPr>
        <w:t>This agreement aims at settling all the remaining issues on</w:t>
      </w:r>
      <w:r w:rsidR="0035347A">
        <w:rPr>
          <w:lang w:val="en-GB" w:eastAsia="ja-JP"/>
        </w:rPr>
        <w:t xml:space="preserve"> the functionality that uses the reporting of UE capability sets. The task would seem formidable: the agreement includes options, FFS</w:t>
      </w:r>
      <w:r w:rsidR="008778DE">
        <w:rPr>
          <w:lang w:val="en-GB" w:eastAsia="ja-JP"/>
        </w:rPr>
        <w:t>s</w:t>
      </w:r>
      <w:r w:rsidR="0035347A">
        <w:rPr>
          <w:lang w:val="en-GB" w:eastAsia="ja-JP"/>
        </w:rPr>
        <w:t xml:space="preserve"> and a working assumption.</w:t>
      </w:r>
      <w:r w:rsidR="008778DE">
        <w:rPr>
          <w:lang w:val="en-GB" w:eastAsia="ja-JP"/>
        </w:rPr>
        <w:t xml:space="preserve"> Handling this during maintenance is quite challenging.</w:t>
      </w:r>
    </w:p>
    <w:p w14:paraId="0F3DF181" w14:textId="58F3F267" w:rsidR="004B40A3" w:rsidRDefault="0035347A" w:rsidP="004B40A3">
      <w:pPr>
        <w:pStyle w:val="BodyText"/>
        <w:rPr>
          <w:lang w:val="en-GB" w:eastAsia="ja-JP"/>
        </w:rPr>
      </w:pPr>
      <w:r>
        <w:rPr>
          <w:lang w:val="en-GB" w:eastAsia="ja-JP"/>
        </w:rPr>
        <w:t>Throughout this work on this issue, it has never been quite clear what the foreseen mode of operation would be. Based on these two agreements, there is now at least a possibility to paint a picture on how it may work. With this, we can also discover any missing pieces of the puzzle.</w:t>
      </w:r>
      <w:r w:rsidR="004B40A3">
        <w:rPr>
          <w:lang w:val="en-GB" w:eastAsia="ja-JP"/>
        </w:rPr>
        <w:t xml:space="preserve"> </w:t>
      </w:r>
    </w:p>
    <w:p w14:paraId="21A74C49" w14:textId="125956AE" w:rsidR="004E5E82" w:rsidRDefault="004E5E82" w:rsidP="004B40A3">
      <w:pPr>
        <w:pStyle w:val="BodyText"/>
        <w:rPr>
          <w:lang w:val="en-GB" w:eastAsia="ja-JP"/>
        </w:rPr>
      </w:pPr>
      <w:r>
        <w:rPr>
          <w:lang w:val="en-GB" w:eastAsia="ja-JP"/>
        </w:rPr>
        <w:t>The first thing to note is that the enhancements are part of the Rel-17 TCI framework.</w:t>
      </w:r>
      <w:r w:rsidR="004310F1">
        <w:rPr>
          <w:lang w:val="en-GB" w:eastAsia="ja-JP"/>
        </w:rPr>
        <w:t xml:space="preserve"> In the Rel-17 TCI framework, the spatial properties of the PUSCH transmission follows the indicated TCI. To change the PUSCH transmissions, a new TCI must be indicated:</w:t>
      </w:r>
    </w:p>
    <w:p w14:paraId="085F02E4" w14:textId="429FCD73" w:rsidR="004310F1" w:rsidRDefault="004310F1" w:rsidP="004310F1">
      <w:pPr>
        <w:pStyle w:val="Observation"/>
        <w:rPr>
          <w:lang w:val="en-GB"/>
        </w:rPr>
      </w:pPr>
      <w:bookmarkStart w:id="22" w:name="_Toc95748523"/>
      <w:r>
        <w:rPr>
          <w:lang w:val="en-GB"/>
        </w:rPr>
        <w:t>To change the spatial properties of a PUSCH transmission, a new TCI must be indicated.</w:t>
      </w:r>
      <w:bookmarkEnd w:id="22"/>
    </w:p>
    <w:p w14:paraId="07999058" w14:textId="738389AE" w:rsidR="004310F1" w:rsidRDefault="004310F1" w:rsidP="004310F1">
      <w:pPr>
        <w:pStyle w:val="BodyText"/>
        <w:rPr>
          <w:lang w:val="en-GB"/>
        </w:rPr>
      </w:pPr>
      <w:r>
        <w:rPr>
          <w:lang w:val="en-GB"/>
        </w:rPr>
        <w:t xml:space="preserve">The NW decides to update the TCI based on reports from the UE. But the reporting and beam indications are two </w:t>
      </w:r>
      <w:r w:rsidR="00CB091E">
        <w:rPr>
          <w:lang w:val="en-GB"/>
        </w:rPr>
        <w:t xml:space="preserve">independent </w:t>
      </w:r>
      <w:r>
        <w:rPr>
          <w:lang w:val="en-GB"/>
        </w:rPr>
        <w:t>procedures</w:t>
      </w:r>
      <w:r w:rsidR="00CB091E">
        <w:rPr>
          <w:lang w:val="en-GB"/>
        </w:rPr>
        <w:t xml:space="preserve">. </w:t>
      </w:r>
      <w:r w:rsidR="00C77681">
        <w:rPr>
          <w:lang w:val="en-GB"/>
        </w:rPr>
        <w:t xml:space="preserve">Also, the scheduling is performed independently from a certain report. </w:t>
      </w:r>
      <w:r w:rsidR="000C329F">
        <w:rPr>
          <w:lang w:val="en-GB"/>
        </w:rPr>
        <w:t>Even t</w:t>
      </w:r>
      <w:r w:rsidR="00C77681">
        <w:rPr>
          <w:lang w:val="en-GB"/>
        </w:rPr>
        <w:t>he selection of TPMI is up to the NW based on whatever information is available.</w:t>
      </w:r>
      <w:r w:rsidR="000C329F">
        <w:rPr>
          <w:lang w:val="en-GB"/>
        </w:rPr>
        <w:t xml:space="preserve"> </w:t>
      </w:r>
      <w:r w:rsidR="00CB091E">
        <w:rPr>
          <w:lang w:val="en-GB"/>
        </w:rPr>
        <w:t xml:space="preserve">Due to this independence, there is no need to acknowledge </w:t>
      </w:r>
      <w:r w:rsidR="000C329F">
        <w:rPr>
          <w:lang w:val="en-GB"/>
        </w:rPr>
        <w:t xml:space="preserve">the reports. </w:t>
      </w:r>
    </w:p>
    <w:p w14:paraId="58BCCE81" w14:textId="07C0DDDF" w:rsidR="00EE0910" w:rsidRDefault="00E43791" w:rsidP="004310F1">
      <w:pPr>
        <w:pStyle w:val="BodyText"/>
        <w:rPr>
          <w:lang w:val="en-GB"/>
        </w:rPr>
      </w:pPr>
      <w:r>
        <w:rPr>
          <w:lang w:val="en-GB"/>
        </w:rPr>
        <w:lastRenderedPageBreak/>
        <w:t>This situation</w:t>
      </w:r>
      <w:r w:rsidR="00C77681">
        <w:rPr>
          <w:lang w:val="en-GB"/>
        </w:rPr>
        <w:t xml:space="preserve"> will</w:t>
      </w:r>
      <w:r>
        <w:rPr>
          <w:lang w:val="en-GB"/>
        </w:rPr>
        <w:t xml:space="preserve"> </w:t>
      </w:r>
      <w:r w:rsidR="00C77681">
        <w:rPr>
          <w:lang w:val="en-GB"/>
        </w:rPr>
        <w:t>remain if</w:t>
      </w:r>
      <w:r>
        <w:rPr>
          <w:lang w:val="en-GB"/>
        </w:rPr>
        <w:t xml:space="preserve"> we introduce a new report, which provides the NW with additional information. Irrespective of the content of the report, the UE would have to follow the beam indications and scheduling </w:t>
      </w:r>
      <w:r w:rsidR="00C77681">
        <w:rPr>
          <w:lang w:val="en-GB"/>
        </w:rPr>
        <w:t xml:space="preserve">from the NW to the best of its abilities. </w:t>
      </w:r>
      <w:r w:rsidR="000C329F">
        <w:rPr>
          <w:lang w:val="en-GB"/>
        </w:rPr>
        <w:t>As a concrete example, when the UE reports that a certain SSBRI/CRI is associated with two SRS port, the NW may still schedule the UE with four SRS ports, and the UE would have to</w:t>
      </w:r>
      <w:r>
        <w:rPr>
          <w:lang w:val="en-GB"/>
        </w:rPr>
        <w:t xml:space="preserve"> </w:t>
      </w:r>
      <w:r w:rsidR="00B93804">
        <w:rPr>
          <w:lang w:val="en-GB"/>
        </w:rPr>
        <w:t>follow that scheduling grant</w:t>
      </w:r>
      <w:r w:rsidR="00EE0910">
        <w:rPr>
          <w:lang w:val="en-GB"/>
        </w:rPr>
        <w:t>, to the best ability. Hence, we propose</w:t>
      </w:r>
    </w:p>
    <w:p w14:paraId="53B99D40" w14:textId="77777777" w:rsidR="00B93629" w:rsidRDefault="00EE0910" w:rsidP="00EE0910">
      <w:pPr>
        <w:pStyle w:val="Proposal"/>
        <w:rPr>
          <w:lang w:val="en-GB"/>
        </w:rPr>
      </w:pPr>
      <w:bookmarkStart w:id="23" w:name="_Ref95469676"/>
      <w:bookmarkStart w:id="24" w:name="_Toc95748538"/>
      <w:r>
        <w:rPr>
          <w:lang w:val="en-GB"/>
        </w:rPr>
        <w:t>No acknowledgement mechanism is introduced for the enhanced beam reporting.</w:t>
      </w:r>
      <w:bookmarkEnd w:id="23"/>
      <w:bookmarkEnd w:id="24"/>
    </w:p>
    <w:p w14:paraId="7F61ADA2" w14:textId="317A861B" w:rsidR="00CB091E" w:rsidRDefault="00B93629" w:rsidP="00B93629">
      <w:pPr>
        <w:pStyle w:val="BodyText"/>
        <w:rPr>
          <w:lang w:val="en-GB"/>
        </w:rPr>
      </w:pPr>
      <w:r>
        <w:rPr>
          <w:lang w:val="en-GB"/>
        </w:rPr>
        <w:t>As we see it, this is the central issue.</w:t>
      </w:r>
      <w:r w:rsidR="00BC45A9">
        <w:rPr>
          <w:lang w:val="en-GB"/>
        </w:rPr>
        <w:t xml:space="preserve"> The sole motivation for an acknowledgement mechanism would be </w:t>
      </w:r>
      <w:r w:rsidR="00440EC2">
        <w:rPr>
          <w:lang w:val="en-GB"/>
        </w:rPr>
        <w:t xml:space="preserve">to mandate network behaviour </w:t>
      </w:r>
      <w:r w:rsidR="003854B0">
        <w:rPr>
          <w:lang w:val="en-GB"/>
        </w:rPr>
        <w:t>because of</w:t>
      </w:r>
      <w:r w:rsidR="00440EC2">
        <w:rPr>
          <w:lang w:val="en-GB"/>
        </w:rPr>
        <w:t xml:space="preserve"> the acknowledgment.</w:t>
      </w:r>
    </w:p>
    <w:p w14:paraId="2EA30921" w14:textId="5EF31310" w:rsidR="0054497C" w:rsidRDefault="003854B0" w:rsidP="00B93629">
      <w:pPr>
        <w:pStyle w:val="BodyText"/>
        <w:rPr>
          <w:lang w:val="en-GB"/>
        </w:rPr>
      </w:pPr>
      <w:r>
        <w:rPr>
          <w:lang w:val="en-GB"/>
        </w:rPr>
        <w:t>If</w:t>
      </w:r>
      <w:r w:rsidR="0054497C">
        <w:rPr>
          <w:lang w:val="en-GB"/>
        </w:rPr>
        <w:t xml:space="preserve"> </w:t>
      </w:r>
      <w:r w:rsidR="0054497C">
        <w:rPr>
          <w:lang w:val="en-GB"/>
        </w:rPr>
        <w:fldChar w:fldCharType="begin"/>
      </w:r>
      <w:r w:rsidR="0054497C">
        <w:rPr>
          <w:lang w:val="en-GB"/>
        </w:rPr>
        <w:instrText xml:space="preserve"> REF _Ref95469676 \r \h </w:instrText>
      </w:r>
      <w:r w:rsidR="0054497C">
        <w:rPr>
          <w:lang w:val="en-GB"/>
        </w:rPr>
      </w:r>
      <w:r w:rsidR="0054497C">
        <w:rPr>
          <w:lang w:val="en-GB"/>
        </w:rPr>
        <w:fldChar w:fldCharType="separate"/>
      </w:r>
      <w:r w:rsidR="004F111A">
        <w:rPr>
          <w:lang w:val="en-GB"/>
        </w:rPr>
        <w:t>Proposal 15</w:t>
      </w:r>
      <w:r w:rsidR="0054497C">
        <w:rPr>
          <w:lang w:val="en-GB"/>
        </w:rPr>
        <w:fldChar w:fldCharType="end"/>
      </w:r>
      <w:r w:rsidR="003153FA">
        <w:rPr>
          <w:lang w:val="en-GB"/>
        </w:rPr>
        <w:t xml:space="preserve"> is agreed, the </w:t>
      </w:r>
      <w:r w:rsidR="005040F1">
        <w:rPr>
          <w:lang w:val="en-GB"/>
        </w:rPr>
        <w:t xml:space="preserve">remaining options and FFS can be discussed. Regarding option 1 and 2, </w:t>
      </w:r>
      <w:proofErr w:type="gramStart"/>
      <w:r w:rsidR="005040F1">
        <w:rPr>
          <w:lang w:val="en-GB"/>
        </w:rPr>
        <w:t>it would seem that option</w:t>
      </w:r>
      <w:proofErr w:type="gramEnd"/>
      <w:r w:rsidR="005040F1">
        <w:rPr>
          <w:lang w:val="en-GB"/>
        </w:rPr>
        <w:t xml:space="preserve"> 2 is easier to use and configure. Hence</w:t>
      </w:r>
      <w:r w:rsidR="001B223A">
        <w:rPr>
          <w:lang w:val="en-GB"/>
        </w:rPr>
        <w:t>,</w:t>
      </w:r>
      <w:r w:rsidR="005040F1">
        <w:rPr>
          <w:lang w:val="en-GB"/>
        </w:rPr>
        <w:t xml:space="preserve"> we propose</w:t>
      </w:r>
    </w:p>
    <w:p w14:paraId="26FD1526" w14:textId="3EA01E23" w:rsidR="008778DE" w:rsidRDefault="005040F1" w:rsidP="005040F1">
      <w:pPr>
        <w:pStyle w:val="Proposal"/>
        <w:rPr>
          <w:lang w:val="en-GB"/>
        </w:rPr>
      </w:pPr>
      <w:bookmarkStart w:id="25" w:name="_Toc95748539"/>
      <w:r>
        <w:rPr>
          <w:lang w:val="en-GB"/>
        </w:rPr>
        <w:t>Support o</w:t>
      </w:r>
      <w:r w:rsidRPr="005040F1">
        <w:rPr>
          <w:lang w:val="en-GB"/>
        </w:rPr>
        <w:t xml:space="preserve">ption 2: </w:t>
      </w:r>
      <w:r>
        <w:rPr>
          <w:lang w:val="en-GB"/>
        </w:rPr>
        <w:t xml:space="preserve">The </w:t>
      </w:r>
      <w:r w:rsidRPr="005040F1">
        <w:rPr>
          <w:lang w:val="en-GB"/>
        </w:rPr>
        <w:t>UE can report one index for each reported CRI/SSBRI in one beam reporting</w:t>
      </w:r>
      <w:r>
        <w:rPr>
          <w:lang w:val="en-GB"/>
        </w:rPr>
        <w:t xml:space="preserve"> instance</w:t>
      </w:r>
      <w:r w:rsidRPr="005040F1">
        <w:rPr>
          <w:lang w:val="en-GB"/>
        </w:rPr>
        <w:t>.</w:t>
      </w:r>
      <w:bookmarkEnd w:id="25"/>
    </w:p>
    <w:p w14:paraId="1FB10334" w14:textId="3222F94E" w:rsidR="008778DE" w:rsidRPr="008778DE" w:rsidRDefault="008778DE" w:rsidP="008778DE">
      <w:pPr>
        <w:pStyle w:val="BodyText"/>
        <w:rPr>
          <w:lang w:val="en-GB"/>
        </w:rPr>
      </w:pPr>
      <w:r>
        <w:rPr>
          <w:lang w:val="en-GB"/>
        </w:rPr>
        <w:t xml:space="preserve">There was also an associated FFS, on </w:t>
      </w:r>
      <w:r w:rsidRPr="008778DE">
        <w:rPr>
          <w:lang w:val="en-GB"/>
        </w:rPr>
        <w:t>whether/how to take DL-only panel into account in the report</w:t>
      </w:r>
      <w:r>
        <w:rPr>
          <w:lang w:val="en-GB"/>
        </w:rPr>
        <w:t xml:space="preserve">. This is a detail that can be handled by introducing 0 as a candidate value. </w:t>
      </w:r>
    </w:p>
    <w:p w14:paraId="00CB7085" w14:textId="0CE70DCE" w:rsidR="005040F1" w:rsidRPr="005040F1" w:rsidRDefault="005040F1" w:rsidP="005040F1">
      <w:pPr>
        <w:pStyle w:val="BodyText"/>
        <w:rPr>
          <w:lang w:val="en-GB"/>
        </w:rPr>
      </w:pPr>
      <w:r>
        <w:rPr>
          <w:lang w:val="en-GB"/>
        </w:rPr>
        <w:t>The</w:t>
      </w:r>
      <w:r w:rsidR="008778DE">
        <w:rPr>
          <w:lang w:val="en-GB"/>
        </w:rPr>
        <w:t xml:space="preserve"> final</w:t>
      </w:r>
      <w:r>
        <w:rPr>
          <w:lang w:val="en-GB"/>
        </w:rPr>
        <w:t xml:space="preserve"> FFS was discussing the time-domain behaviour of the associated beam report. If this report is supported, all reporting types must be supported:</w:t>
      </w:r>
    </w:p>
    <w:p w14:paraId="0B53B62E" w14:textId="0799ED99" w:rsidR="005040F1" w:rsidRPr="00C2121B" w:rsidRDefault="005040F1" w:rsidP="00B93629">
      <w:pPr>
        <w:pStyle w:val="Proposal"/>
        <w:rPr>
          <w:lang w:val="en-GB"/>
        </w:rPr>
      </w:pPr>
      <w:bookmarkStart w:id="26" w:name="_Toc95748540"/>
      <w:r>
        <w:rPr>
          <w:lang w:val="en-GB"/>
        </w:rPr>
        <w:t xml:space="preserve">The enhanced beam report is supported for periodic reporting, semi-persistent </w:t>
      </w:r>
      <w:proofErr w:type="gramStart"/>
      <w:r>
        <w:rPr>
          <w:lang w:val="en-GB"/>
        </w:rPr>
        <w:t>reporting</w:t>
      </w:r>
      <w:proofErr w:type="gramEnd"/>
      <w:r>
        <w:rPr>
          <w:lang w:val="en-GB"/>
        </w:rPr>
        <w:t xml:space="preserve"> and aperiodic reporting.</w:t>
      </w:r>
      <w:bookmarkEnd w:id="26"/>
    </w:p>
    <w:p w14:paraId="37EB5693" w14:textId="2D8A7DD6" w:rsidR="00C01F33" w:rsidRPr="00CE0424" w:rsidRDefault="00C01F33" w:rsidP="00CE0424">
      <w:pPr>
        <w:pStyle w:val="Heading1"/>
      </w:pPr>
      <w:bookmarkStart w:id="27"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7"/>
    <w:p w14:paraId="1360B161" w14:textId="40E2362D" w:rsidR="004F111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95748520" w:history="1">
        <w:r w:rsidR="004F111A" w:rsidRPr="00414D1E">
          <w:rPr>
            <w:rStyle w:val="Hyperlink"/>
            <w:noProof/>
            <w:lang w:val="en-GB"/>
          </w:rPr>
          <w:t>Observation 1</w:t>
        </w:r>
        <w:r w:rsidR="004F111A">
          <w:rPr>
            <w:rFonts w:asciiTheme="minorHAnsi" w:eastAsiaTheme="minorEastAsia" w:hAnsiTheme="minorHAnsi" w:cstheme="minorBidi"/>
            <w:b w:val="0"/>
            <w:noProof/>
            <w:sz w:val="22"/>
            <w:szCs w:val="22"/>
            <w:lang w:val="sv-SE" w:eastAsia="sv-SE"/>
          </w:rPr>
          <w:tab/>
        </w:r>
        <w:r w:rsidR="004F111A" w:rsidRPr="00414D1E">
          <w:rPr>
            <w:rStyle w:val="Hyperlink"/>
            <w:noProof/>
            <w:lang w:val="en-GB"/>
          </w:rPr>
          <w:t>Associating the same pathloss RS in multiple TCI states would make the normal mode of operation impossible.</w:t>
        </w:r>
      </w:hyperlink>
    </w:p>
    <w:p w14:paraId="7F818BBC" w14:textId="14E3DC24"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1" w:history="1">
        <w:r w:rsidRPr="00414D1E">
          <w:rPr>
            <w:rStyle w:val="Hyperlink"/>
            <w:noProof/>
            <w:lang w:val="en-GB"/>
          </w:rPr>
          <w:t>Observation 2</w:t>
        </w:r>
        <w:r>
          <w:rPr>
            <w:rFonts w:asciiTheme="minorHAnsi" w:eastAsiaTheme="minorEastAsia" w:hAnsiTheme="minorHAnsi" w:cstheme="minorBidi"/>
            <w:b w:val="0"/>
            <w:noProof/>
            <w:sz w:val="22"/>
            <w:szCs w:val="22"/>
            <w:lang w:val="sv-SE" w:eastAsia="sv-SE"/>
          </w:rPr>
          <w:tab/>
        </w:r>
        <w:r w:rsidRPr="00414D1E">
          <w:rPr>
            <w:rStyle w:val="Hyperlink"/>
            <w:noProof/>
            <w:lang w:val="en-GB"/>
          </w:rPr>
          <w:t>CORESET ‘C’ exists.</w:t>
        </w:r>
      </w:hyperlink>
    </w:p>
    <w:p w14:paraId="27DA9FAA" w14:textId="671F5028"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2" w:history="1">
        <w:r w:rsidRPr="00414D1E">
          <w:rPr>
            <w:rStyle w:val="Hyperlink"/>
            <w:noProof/>
            <w:lang w:val="en-GB"/>
          </w:rPr>
          <w:t>Observation 3</w:t>
        </w:r>
        <w:r>
          <w:rPr>
            <w:rFonts w:asciiTheme="minorHAnsi" w:eastAsiaTheme="minorEastAsia" w:hAnsiTheme="minorHAnsi" w:cstheme="minorBidi"/>
            <w:b w:val="0"/>
            <w:noProof/>
            <w:sz w:val="22"/>
            <w:szCs w:val="22"/>
            <w:lang w:val="sv-SE" w:eastAsia="sv-SE"/>
          </w:rPr>
          <w:tab/>
        </w:r>
        <w:r w:rsidRPr="00414D1E">
          <w:rPr>
            <w:rStyle w:val="Hyperlink"/>
            <w:noProof/>
            <w:lang w:val="en-GB"/>
          </w:rPr>
          <w:t>If there is only one RRC-parameter for the beam application time, there is only one UE capability (per SCS) for the minimum beam application time.</w:t>
        </w:r>
      </w:hyperlink>
    </w:p>
    <w:p w14:paraId="092BF3AF" w14:textId="075DC000"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3" w:history="1">
        <w:r w:rsidRPr="00414D1E">
          <w:rPr>
            <w:rStyle w:val="Hyperlink"/>
            <w:noProof/>
            <w:lang w:val="en-GB"/>
          </w:rPr>
          <w:t>Observation 4</w:t>
        </w:r>
        <w:r>
          <w:rPr>
            <w:rFonts w:asciiTheme="minorHAnsi" w:eastAsiaTheme="minorEastAsia" w:hAnsiTheme="minorHAnsi" w:cstheme="minorBidi"/>
            <w:b w:val="0"/>
            <w:noProof/>
            <w:sz w:val="22"/>
            <w:szCs w:val="22"/>
            <w:lang w:val="sv-SE" w:eastAsia="sv-SE"/>
          </w:rPr>
          <w:tab/>
        </w:r>
        <w:r w:rsidRPr="00414D1E">
          <w:rPr>
            <w:rStyle w:val="Hyperlink"/>
            <w:noProof/>
            <w:lang w:val="en-GB"/>
          </w:rPr>
          <w:t>To change the spatial properties of a PUSCH transmission, a new TCI must be indicated.</w:t>
        </w:r>
      </w:hyperlink>
    </w:p>
    <w:p w14:paraId="6225A1B8" w14:textId="76303984"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5FC6142" w14:textId="77777777" w:rsidR="004F111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95748524" w:history="1">
        <w:r w:rsidR="004F111A" w:rsidRPr="002206B4">
          <w:rPr>
            <w:rStyle w:val="Hyperlink"/>
            <w:noProof/>
            <w:lang w:val="en-GB" w:eastAsia="ja-JP"/>
          </w:rPr>
          <w:t>Proposal 1</w:t>
        </w:r>
        <w:r w:rsidR="004F111A">
          <w:rPr>
            <w:rFonts w:asciiTheme="minorHAnsi" w:eastAsiaTheme="minorEastAsia" w:hAnsiTheme="minorHAnsi" w:cstheme="minorBidi"/>
            <w:b w:val="0"/>
            <w:noProof/>
            <w:sz w:val="22"/>
            <w:szCs w:val="22"/>
            <w:lang w:val="sv-SE" w:eastAsia="sv-SE"/>
          </w:rPr>
          <w:tab/>
        </w:r>
        <w:r w:rsidR="004F111A" w:rsidRPr="002206B4">
          <w:rPr>
            <w:rStyle w:val="Hyperlink"/>
            <w:noProof/>
            <w:lang w:val="en-GB" w:eastAsia="ja-JP"/>
          </w:rPr>
          <w:t>Define two new CC lists to handle common TCI state update for the Rel-17 TCI state framework.</w:t>
        </w:r>
      </w:hyperlink>
    </w:p>
    <w:p w14:paraId="3E2BDA99"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5" w:history="1">
        <w:r w:rsidRPr="002206B4">
          <w:rPr>
            <w:rStyle w:val="Hyperlink"/>
            <w:noProof/>
            <w:lang w:val="en-GB" w:eastAsia="ja-JP"/>
          </w:rPr>
          <w:t>Proposal 2</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One CC can be in either the Rel-16 CC list(s) or the Rel-17 CC list(s). This restriction is captured in 38.331.</w:t>
        </w:r>
      </w:hyperlink>
    </w:p>
    <w:p w14:paraId="336DED35"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6" w:history="1">
        <w:r w:rsidRPr="002206B4">
          <w:rPr>
            <w:rStyle w:val="Hyperlink"/>
            <w:noProof/>
            <w:lang w:val="en-GB" w:eastAsia="ja-JP"/>
          </w:rPr>
          <w:t>Proposal 3</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The UE is not expected to be configured with Rel-15/Rel-16 TCI/SpatialRelationInfo/PUCCH-SpatialRelationInfo (except spatialRelationInfoPos) if the UE is configured with Rel-17 TCI in any CC in a band</w:t>
        </w:r>
      </w:hyperlink>
    </w:p>
    <w:p w14:paraId="1B31EAFD"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7" w:history="1">
        <w:r w:rsidRPr="002206B4">
          <w:rPr>
            <w:rStyle w:val="Hyperlink"/>
            <w:noProof/>
            <w:lang w:val="en-GB" w:eastAsia="ja-JP"/>
          </w:rPr>
          <w:t>Proposal 4</w:t>
        </w:r>
        <w:r>
          <w:rPr>
            <w:rFonts w:asciiTheme="minorHAnsi" w:eastAsiaTheme="minorEastAsia" w:hAnsiTheme="minorHAnsi" w:cstheme="minorBidi"/>
            <w:b w:val="0"/>
            <w:noProof/>
            <w:sz w:val="22"/>
            <w:szCs w:val="22"/>
            <w:lang w:val="sv-SE" w:eastAsia="sv-SE"/>
          </w:rPr>
          <w:tab/>
        </w:r>
        <w:r w:rsidRPr="002206B4">
          <w:rPr>
            <w:rStyle w:val="Hyperlink"/>
            <w:noProof/>
          </w:rPr>
          <w:t>For any SRS resource set that does not share the same indicated Rel-17 TCI state(s) as dynamic-grant/configured-grant based PUSCH and all of dedicated PUCCH resources, but can be configured as a target signal of a Rel-17 TCI state, Rel-17 mechanism(s) which reuse mechanisms similar to the Rel-15/16 spatial relation info update signaling/configuration design(s) are used to update/configure such SRS(s) with Rel-17 TCI state.</w:t>
        </w:r>
      </w:hyperlink>
    </w:p>
    <w:p w14:paraId="6510B27E"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8" w:history="1">
        <w:r w:rsidRPr="002206B4">
          <w:rPr>
            <w:rStyle w:val="Hyperlink"/>
            <w:noProof/>
            <w:lang w:val="en-GB" w:eastAsia="ja-JP"/>
          </w:rPr>
          <w:t>Proposal 5</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 xml:space="preserve">The power control parameters of an SRS resource in an SRS resource set that does not share </w:t>
        </w:r>
        <w:r w:rsidRPr="002206B4">
          <w:rPr>
            <w:rStyle w:val="Hyperlink"/>
            <w:noProof/>
          </w:rPr>
          <w:t>the same indicated Rel-17 TCI state(s) as dynamic-grant/configured-grant based PUSCH and all of dedicated PUCCH resources are provided using the Rel-15/16 power control parameters in the SRS resource set.</w:t>
        </w:r>
      </w:hyperlink>
    </w:p>
    <w:p w14:paraId="4C9C69A8"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29" w:history="1">
        <w:r w:rsidRPr="002206B4">
          <w:rPr>
            <w:rStyle w:val="Hyperlink"/>
            <w:noProof/>
            <w:lang w:val="en-GB" w:eastAsia="ja-JP"/>
          </w:rPr>
          <w:t>Proposal 6</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 xml:space="preserve">Move the RRC parameter </w:t>
        </w:r>
        <w:r w:rsidRPr="002206B4">
          <w:rPr>
            <w:rStyle w:val="Hyperlink"/>
            <w:i/>
            <w:iCs/>
            <w:noProof/>
            <w:lang w:val="en-GB" w:eastAsia="ja-JP"/>
          </w:rPr>
          <w:t xml:space="preserve">followUnifiedTCIstate-r17 </w:t>
        </w:r>
        <w:r w:rsidRPr="002206B4">
          <w:rPr>
            <w:rStyle w:val="Hyperlink"/>
            <w:noProof/>
            <w:lang w:val="en-GB" w:eastAsia="ja-JP"/>
          </w:rPr>
          <w:t>to the search space level.</w:t>
        </w:r>
      </w:hyperlink>
    </w:p>
    <w:p w14:paraId="278E42BA"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0" w:history="1">
        <w:r w:rsidRPr="002206B4">
          <w:rPr>
            <w:rStyle w:val="Hyperlink"/>
            <w:noProof/>
            <w:lang w:val="en-GB" w:eastAsia="ja-JP"/>
          </w:rPr>
          <w:t>Proposal 7</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CORESET#0 never follows the indicated TCI.</w:t>
        </w:r>
      </w:hyperlink>
    </w:p>
    <w:p w14:paraId="17A2943E"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1" w:history="1">
        <w:r w:rsidRPr="002206B4">
          <w:rPr>
            <w:rStyle w:val="Hyperlink"/>
            <w:noProof/>
            <w:lang w:eastAsia="ja-JP"/>
          </w:rPr>
          <w:t>Proposal 8</w:t>
        </w:r>
        <w:r>
          <w:rPr>
            <w:rFonts w:asciiTheme="minorHAnsi" w:eastAsiaTheme="minorEastAsia" w:hAnsiTheme="minorHAnsi" w:cstheme="minorBidi"/>
            <w:b w:val="0"/>
            <w:noProof/>
            <w:sz w:val="22"/>
            <w:szCs w:val="22"/>
            <w:lang w:val="sv-SE" w:eastAsia="sv-SE"/>
          </w:rPr>
          <w:tab/>
        </w:r>
        <w:r w:rsidRPr="002206B4">
          <w:rPr>
            <w:rStyle w:val="Hyperlink"/>
            <w:noProof/>
            <w:lang w:eastAsia="ja-JP"/>
          </w:rPr>
          <w:t>If the UE is not provided with qcl-InfoPeriodicCSI-RS for a periodic CSI-RS resource, the UE applies the QCL assumptions of the PDCCH/PDSCH when receiving the CSI-RS.</w:t>
        </w:r>
      </w:hyperlink>
    </w:p>
    <w:p w14:paraId="531DCA9D"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2" w:history="1">
        <w:r w:rsidRPr="002206B4">
          <w:rPr>
            <w:rStyle w:val="Hyperlink"/>
            <w:noProof/>
            <w:lang w:eastAsia="ja-JP"/>
          </w:rPr>
          <w:t>Proposal 9</w:t>
        </w:r>
        <w:r>
          <w:rPr>
            <w:rFonts w:asciiTheme="minorHAnsi" w:eastAsiaTheme="minorEastAsia" w:hAnsiTheme="minorHAnsi" w:cstheme="minorBidi"/>
            <w:b w:val="0"/>
            <w:noProof/>
            <w:sz w:val="22"/>
            <w:szCs w:val="22"/>
            <w:lang w:val="sv-SE" w:eastAsia="sv-SE"/>
          </w:rPr>
          <w:tab/>
        </w:r>
        <w:r w:rsidRPr="002206B4">
          <w:rPr>
            <w:rStyle w:val="Hyperlink"/>
            <w:noProof/>
            <w:lang w:eastAsia="ja-JP"/>
          </w:rPr>
          <w:t>If there is no TCI state in the SP CSI-RS/CSI-IM Resource Set Activation/Deactivation MAC CE, the UE applies the QCL assumptions of the PDCCH/PDSCH when receiving the CSI-RS.</w:t>
        </w:r>
      </w:hyperlink>
    </w:p>
    <w:p w14:paraId="38F2DCCD"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3" w:history="1">
        <w:r w:rsidRPr="002206B4">
          <w:rPr>
            <w:rStyle w:val="Hyperlink"/>
            <w:noProof/>
            <w:lang w:val="en-GB" w:eastAsia="ja-JP"/>
          </w:rPr>
          <w:t>Proposal 10</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By default, the UE only reports L1-RSRP for the subset of configured SSBs it has detected during the L3 measurement process.</w:t>
        </w:r>
      </w:hyperlink>
    </w:p>
    <w:p w14:paraId="580D704D"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4" w:history="1">
        <w:r w:rsidRPr="002206B4">
          <w:rPr>
            <w:rStyle w:val="Hyperlink"/>
            <w:noProof/>
            <w:lang w:val="en-GB" w:eastAsia="ja-JP"/>
          </w:rPr>
          <w:t>Proposal 11</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A UE that supports reporting on all configured neighbours can be RRC-configured to do so.</w:t>
        </w:r>
      </w:hyperlink>
    </w:p>
    <w:p w14:paraId="169A0CEC"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5" w:history="1">
        <w:r w:rsidRPr="002206B4">
          <w:rPr>
            <w:rStyle w:val="Hyperlink"/>
            <w:noProof/>
            <w:lang w:val="en-GB" w:eastAsia="ja-JP"/>
          </w:rPr>
          <w:t>Proposal 12</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Introduce a second configured BAT to be applied when the indicated TCI changes to another PCI.</w:t>
        </w:r>
      </w:hyperlink>
    </w:p>
    <w:p w14:paraId="2EEE7022"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6" w:history="1">
        <w:r w:rsidRPr="002206B4">
          <w:rPr>
            <w:rStyle w:val="Hyperlink"/>
            <w:noProof/>
            <w:lang w:val="en-GB" w:eastAsia="ja-JP"/>
          </w:rPr>
          <w:t>Proposal 13</w:t>
        </w:r>
        <w:r>
          <w:rPr>
            <w:rFonts w:asciiTheme="minorHAnsi" w:eastAsiaTheme="minorEastAsia" w:hAnsiTheme="minorHAnsi" w:cstheme="minorBidi"/>
            <w:b w:val="0"/>
            <w:noProof/>
            <w:sz w:val="22"/>
            <w:szCs w:val="22"/>
            <w:lang w:val="sv-SE" w:eastAsia="sv-SE"/>
          </w:rPr>
          <w:tab/>
        </w:r>
        <w:r w:rsidRPr="002206B4">
          <w:rPr>
            <w:rStyle w:val="Hyperlink"/>
            <w:noProof/>
            <w:lang w:val="en-GB"/>
          </w:rPr>
          <w:t>There are no restrictions of the BATs for CC(s) not configured with common TCI state ID update.</w:t>
        </w:r>
      </w:hyperlink>
    </w:p>
    <w:p w14:paraId="0C509D40"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7" w:history="1">
        <w:r w:rsidRPr="002206B4">
          <w:rPr>
            <w:rStyle w:val="Hyperlink"/>
            <w:noProof/>
            <w:lang w:val="en-GB" w:eastAsia="ja-JP"/>
          </w:rPr>
          <w:t>Proposal 14</w:t>
        </w:r>
        <w:r>
          <w:rPr>
            <w:rFonts w:asciiTheme="minorHAnsi" w:eastAsiaTheme="minorEastAsia" w:hAnsiTheme="minorHAnsi" w:cstheme="minorBidi"/>
            <w:b w:val="0"/>
            <w:noProof/>
            <w:sz w:val="22"/>
            <w:szCs w:val="22"/>
            <w:lang w:val="sv-SE" w:eastAsia="sv-SE"/>
          </w:rPr>
          <w:tab/>
        </w:r>
        <w:r w:rsidRPr="002206B4">
          <w:rPr>
            <w:rStyle w:val="Hyperlink"/>
            <w:noProof/>
            <w:lang w:val="en-GB" w:eastAsia="ja-JP"/>
          </w:rPr>
          <w:t>Do not confirm the working assumption.</w:t>
        </w:r>
      </w:hyperlink>
    </w:p>
    <w:p w14:paraId="0BAD4C03"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8" w:history="1">
        <w:r w:rsidRPr="002206B4">
          <w:rPr>
            <w:rStyle w:val="Hyperlink"/>
            <w:noProof/>
            <w:lang w:val="en-GB"/>
          </w:rPr>
          <w:t>Proposal 15</w:t>
        </w:r>
        <w:r>
          <w:rPr>
            <w:rFonts w:asciiTheme="minorHAnsi" w:eastAsiaTheme="minorEastAsia" w:hAnsiTheme="minorHAnsi" w:cstheme="minorBidi"/>
            <w:b w:val="0"/>
            <w:noProof/>
            <w:sz w:val="22"/>
            <w:szCs w:val="22"/>
            <w:lang w:val="sv-SE" w:eastAsia="sv-SE"/>
          </w:rPr>
          <w:tab/>
        </w:r>
        <w:r w:rsidRPr="002206B4">
          <w:rPr>
            <w:rStyle w:val="Hyperlink"/>
            <w:noProof/>
            <w:lang w:val="en-GB"/>
          </w:rPr>
          <w:t>No acknowledgement mechanism is introduced for the enhanced beam reporting.</w:t>
        </w:r>
      </w:hyperlink>
    </w:p>
    <w:p w14:paraId="1249C591"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39" w:history="1">
        <w:r w:rsidRPr="002206B4">
          <w:rPr>
            <w:rStyle w:val="Hyperlink"/>
            <w:noProof/>
            <w:lang w:val="en-GB"/>
          </w:rPr>
          <w:t>Proposal 16</w:t>
        </w:r>
        <w:r>
          <w:rPr>
            <w:rFonts w:asciiTheme="minorHAnsi" w:eastAsiaTheme="minorEastAsia" w:hAnsiTheme="minorHAnsi" w:cstheme="minorBidi"/>
            <w:b w:val="0"/>
            <w:noProof/>
            <w:sz w:val="22"/>
            <w:szCs w:val="22"/>
            <w:lang w:val="sv-SE" w:eastAsia="sv-SE"/>
          </w:rPr>
          <w:tab/>
        </w:r>
        <w:r w:rsidRPr="002206B4">
          <w:rPr>
            <w:rStyle w:val="Hyperlink"/>
            <w:noProof/>
            <w:lang w:val="en-GB"/>
          </w:rPr>
          <w:t>Support option 2: The UE can report one index for each reported CRI/SSBRI in one beam reporting instance.</w:t>
        </w:r>
      </w:hyperlink>
    </w:p>
    <w:p w14:paraId="332D012D" w14:textId="77777777" w:rsidR="004F111A" w:rsidRDefault="004F11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8540" w:history="1">
        <w:r w:rsidRPr="002206B4">
          <w:rPr>
            <w:rStyle w:val="Hyperlink"/>
            <w:noProof/>
            <w:lang w:val="en-GB"/>
          </w:rPr>
          <w:t>Proposal 17</w:t>
        </w:r>
        <w:r>
          <w:rPr>
            <w:rFonts w:asciiTheme="minorHAnsi" w:eastAsiaTheme="minorEastAsia" w:hAnsiTheme="minorHAnsi" w:cstheme="minorBidi"/>
            <w:b w:val="0"/>
            <w:noProof/>
            <w:sz w:val="22"/>
            <w:szCs w:val="22"/>
            <w:lang w:val="sv-SE" w:eastAsia="sv-SE"/>
          </w:rPr>
          <w:tab/>
        </w:r>
        <w:r w:rsidRPr="002206B4">
          <w:rPr>
            <w:rStyle w:val="Hyperlink"/>
            <w:noProof/>
            <w:lang w:val="en-GB"/>
          </w:rPr>
          <w:t>The enhanced beam report is supported for periodic reporting, semi-persistent reporting and aperiodic reporting.</w:t>
        </w:r>
      </w:hyperlink>
    </w:p>
    <w:p w14:paraId="58ACA235" w14:textId="6092E959"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8" w:name="_In-sequence_SDU_delivery"/>
      <w:bookmarkEnd w:id="28"/>
      <w:r w:rsidRPr="00CE0424">
        <w:t>References</w:t>
      </w:r>
    </w:p>
    <w:p w14:paraId="666FA4A0" w14:textId="78414464" w:rsidR="00B54DD6" w:rsidRPr="00B25BEA" w:rsidRDefault="00B54DD6" w:rsidP="000E0F2D">
      <w:pPr>
        <w:pStyle w:val="Reference"/>
      </w:pPr>
      <w:bookmarkStart w:id="29" w:name="_Ref31185007"/>
      <w:bookmarkStart w:id="30" w:name="_Ref174151459"/>
      <w:bookmarkStart w:id="31"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29"/>
      <w:r w:rsidRPr="00B25BEA">
        <w:t xml:space="preserve"> </w:t>
      </w:r>
    </w:p>
    <w:p w14:paraId="7A9720EA" w14:textId="6C5F22B9" w:rsidR="00A6557B" w:rsidRDefault="00A6557B" w:rsidP="00064D3A">
      <w:pPr>
        <w:pStyle w:val="Reference"/>
      </w:pPr>
      <w:bookmarkStart w:id="32" w:name="_Ref83548540"/>
      <w:bookmarkStart w:id="33" w:name="_Ref53994573"/>
      <w:r>
        <w:t xml:space="preserve">3GPP TS 38.300 </w:t>
      </w:r>
      <w:r w:rsidRPr="00A6557B">
        <w:t>V16.6.0</w:t>
      </w:r>
      <w:r>
        <w:t>, NR; NR and NG-RAN Overall Description; Stage 2, RAN</w:t>
      </w:r>
      <w:r w:rsidR="00F1314A">
        <w:t>#</w:t>
      </w:r>
      <w:r>
        <w:t>92e, June 2021</w:t>
      </w:r>
      <w:bookmarkEnd w:id="32"/>
    </w:p>
    <w:p w14:paraId="18C400C1" w14:textId="04406566" w:rsidR="00F1314A" w:rsidRDefault="00F1314A" w:rsidP="00064D3A">
      <w:pPr>
        <w:pStyle w:val="Reference"/>
      </w:pPr>
      <w:bookmarkStart w:id="34" w:name="_Ref83548941"/>
      <w:r>
        <w:t>3GPP TS 38.215 V16.4.0, NR; Physical layer measurements, RAN#90e, December 2021</w:t>
      </w:r>
      <w:bookmarkEnd w:id="34"/>
    </w:p>
    <w:p w14:paraId="1EB196DF" w14:textId="7D09C352" w:rsidR="00D37587" w:rsidRDefault="00D37587" w:rsidP="000E0F2D">
      <w:pPr>
        <w:pStyle w:val="Reference"/>
      </w:pPr>
      <w:r w:rsidRPr="00D37587">
        <w:t>3GPP TS 38.133 V16.</w:t>
      </w:r>
      <w:r w:rsidR="001B35B1">
        <w:t>2</w:t>
      </w:r>
      <w:r w:rsidRPr="00D37587">
        <w:t>.0</w:t>
      </w:r>
      <w:r>
        <w:t>, NR; Requirements for support of radio resource management, RAN#8</w:t>
      </w:r>
      <w:r w:rsidR="001B35B1">
        <w:t>6</w:t>
      </w:r>
      <w:r>
        <w:t xml:space="preserve">, </w:t>
      </w:r>
      <w:proofErr w:type="spellStart"/>
      <w:r w:rsidR="001B35B1">
        <w:t>Sitges</w:t>
      </w:r>
      <w:proofErr w:type="spellEnd"/>
      <w:r w:rsidR="001B35B1">
        <w:t xml:space="preserve">, December </w:t>
      </w:r>
      <w:r>
        <w:t>20</w:t>
      </w:r>
      <w:r w:rsidR="001B35B1">
        <w:t>19</w:t>
      </w:r>
      <w:bookmarkEnd w:id="33"/>
    </w:p>
    <w:p w14:paraId="6E2D101F" w14:textId="4DCF7CE2" w:rsidR="00D37587" w:rsidRDefault="00D37587" w:rsidP="000E0F2D">
      <w:pPr>
        <w:pStyle w:val="Reference"/>
      </w:pPr>
      <w:bookmarkStart w:id="35"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35"/>
    </w:p>
    <w:p w14:paraId="65605E09" w14:textId="7C835FB4" w:rsidR="00064D3A" w:rsidRDefault="00064D3A" w:rsidP="000E0F2D">
      <w:pPr>
        <w:pStyle w:val="Reference"/>
      </w:pPr>
      <w:bookmarkStart w:id="36" w:name="_Ref83623879"/>
      <w:r w:rsidRPr="00064D3A">
        <w:t>R1-21</w:t>
      </w:r>
      <w:r w:rsidR="00C30AEC">
        <w:t>10575</w:t>
      </w:r>
      <w:r>
        <w:t xml:space="preserve">, </w:t>
      </w:r>
      <w:r w:rsidR="00C30AEC" w:rsidRPr="00C30AEC">
        <w:t>LS on Re-17 LTE and NR higher-layers parameter list</w:t>
      </w:r>
      <w:r>
        <w:t xml:space="preserve">, </w:t>
      </w:r>
      <w:r w:rsidRPr="00064D3A">
        <w:t>Moderator (</w:t>
      </w:r>
      <w:r w:rsidR="00C30AEC">
        <w:t>Ericsson</w:t>
      </w:r>
      <w:r w:rsidRPr="00064D3A">
        <w:t>)</w:t>
      </w:r>
      <w:r>
        <w:t>, RAN1#106</w:t>
      </w:r>
      <w:r w:rsidR="00C30AEC">
        <w:t>bis</w:t>
      </w:r>
      <w:r>
        <w:t>-e,</w:t>
      </w:r>
      <w:r w:rsidR="00C30AEC">
        <w:t xml:space="preserve"> October</w:t>
      </w:r>
      <w:r>
        <w:t xml:space="preserve"> 2021</w:t>
      </w:r>
      <w:bookmarkEnd w:id="36"/>
    </w:p>
    <w:p w14:paraId="56FB70AE" w14:textId="25F5E355" w:rsidR="001B3009" w:rsidRDefault="001B3009" w:rsidP="000E0F2D">
      <w:pPr>
        <w:pStyle w:val="Reference"/>
      </w:pPr>
      <w:bookmarkStart w:id="37" w:name="_Ref95386584"/>
      <w:bookmarkStart w:id="38" w:name="_Hlk95477776"/>
      <w:r w:rsidRPr="001B3009">
        <w:t>R2-2202000</w:t>
      </w:r>
      <w:r>
        <w:t xml:space="preserve">, </w:t>
      </w:r>
      <w:r w:rsidRPr="001B3009">
        <w:t xml:space="preserve">Running RRC CR for </w:t>
      </w:r>
      <w:proofErr w:type="spellStart"/>
      <w:r w:rsidRPr="001B3009">
        <w:t>FeMIMO</w:t>
      </w:r>
      <w:proofErr w:type="spellEnd"/>
      <w:r w:rsidRPr="001B3009">
        <w:t xml:space="preserve"> Rel-17</w:t>
      </w:r>
      <w:r>
        <w:t>, Ericsson, February 2022</w:t>
      </w:r>
      <w:bookmarkEnd w:id="37"/>
    </w:p>
    <w:p w14:paraId="651EF2AB" w14:textId="720296FB" w:rsidR="000E2D27" w:rsidRDefault="000E2D27" w:rsidP="000E0F2D">
      <w:pPr>
        <w:pStyle w:val="Reference"/>
      </w:pPr>
      <w:bookmarkStart w:id="39" w:name="_Ref95386730"/>
      <w:r w:rsidRPr="000E2D27">
        <w:t>R1-2200887</w:t>
      </w:r>
      <w:r>
        <w:t xml:space="preserve">, </w:t>
      </w:r>
      <w:r w:rsidRPr="000E2D27">
        <w:t xml:space="preserve">LS on </w:t>
      </w:r>
      <w:proofErr w:type="spellStart"/>
      <w:r w:rsidRPr="000E2D27">
        <w:t>feMIMO</w:t>
      </w:r>
      <w:proofErr w:type="spellEnd"/>
      <w:r w:rsidRPr="000E2D27">
        <w:t xml:space="preserve"> RRC parameters</w:t>
      </w:r>
      <w:r>
        <w:t>, RAN2, January 2022</w:t>
      </w:r>
      <w:bookmarkEnd w:id="39"/>
    </w:p>
    <w:p w14:paraId="68671A7C" w14:textId="088CABB8" w:rsidR="0021165B" w:rsidRPr="005A63F6" w:rsidRDefault="0021165B" w:rsidP="000E0F2D">
      <w:pPr>
        <w:pStyle w:val="Reference"/>
      </w:pPr>
      <w:bookmarkStart w:id="40" w:name="_Ref95471542"/>
      <w:bookmarkEnd w:id="38"/>
      <w:r w:rsidRPr="0021165B">
        <w:t>R1-2201629</w:t>
      </w:r>
      <w:r>
        <w:t xml:space="preserve">, </w:t>
      </w:r>
      <w:r w:rsidRPr="0021165B">
        <w:t xml:space="preserve">Discussion related to LS on </w:t>
      </w:r>
      <w:proofErr w:type="spellStart"/>
      <w:r w:rsidRPr="0021165B">
        <w:t>feMIMO</w:t>
      </w:r>
      <w:proofErr w:type="spellEnd"/>
      <w:r w:rsidRPr="0021165B">
        <w:t xml:space="preserve"> RRC parameters</w:t>
      </w:r>
      <w:r>
        <w:t xml:space="preserve">, </w:t>
      </w:r>
      <w:r w:rsidR="00656AEE">
        <w:t>Ericsson, February 2022</w:t>
      </w:r>
      <w:bookmarkEnd w:id="40"/>
    </w:p>
    <w:bookmarkEnd w:id="30"/>
    <w:bookmarkEnd w:id="31"/>
    <w:p w14:paraId="715CA09B" w14:textId="77777777" w:rsidR="003A7EF3" w:rsidRPr="00CE0424" w:rsidRDefault="003A7EF3" w:rsidP="000E0F2D">
      <w:pPr>
        <w:pStyle w:val="BodyText"/>
      </w:pPr>
    </w:p>
    <w:sectPr w:rsidR="003A7EF3" w:rsidRPr="00CE0424"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66C55" w14:textId="77777777" w:rsidR="00A37811" w:rsidRDefault="00A37811">
      <w:r>
        <w:separator/>
      </w:r>
    </w:p>
  </w:endnote>
  <w:endnote w:type="continuationSeparator" w:id="0">
    <w:p w14:paraId="569960C0" w14:textId="77777777" w:rsidR="00A37811" w:rsidRDefault="00A37811">
      <w:r>
        <w:continuationSeparator/>
      </w:r>
    </w:p>
  </w:endnote>
  <w:endnote w:type="continuationNotice" w:id="1">
    <w:p w14:paraId="01EEEC9C" w14:textId="77777777" w:rsidR="00A37811" w:rsidRDefault="00A37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4505C" w14:textId="77777777" w:rsidR="00A37811" w:rsidRDefault="00A37811">
      <w:r>
        <w:separator/>
      </w:r>
    </w:p>
  </w:footnote>
  <w:footnote w:type="continuationSeparator" w:id="0">
    <w:p w14:paraId="12A436FD" w14:textId="77777777" w:rsidR="00A37811" w:rsidRDefault="00A37811">
      <w:r>
        <w:continuationSeparator/>
      </w:r>
    </w:p>
  </w:footnote>
  <w:footnote w:type="continuationNotice" w:id="1">
    <w:p w14:paraId="289636C5" w14:textId="77777777" w:rsidR="00A37811" w:rsidRDefault="00A37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687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D099E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5"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8519EC"/>
    <w:multiLevelType w:val="hybridMultilevel"/>
    <w:tmpl w:val="00D2C72E"/>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97253"/>
    <w:multiLevelType w:val="hybridMultilevel"/>
    <w:tmpl w:val="0F5ECC74"/>
    <w:lvl w:ilvl="0" w:tplc="52F28482">
      <w:start w:val="1"/>
      <w:numFmt w:val="decimal"/>
      <w:lvlText w:val="[%1]"/>
      <w:lvlJc w:val="left"/>
      <w:pPr>
        <w:ind w:left="737" w:hanging="737"/>
      </w:pPr>
      <w:rPr>
        <w:rFonts w:hint="default"/>
      </w:rPr>
    </w:lvl>
    <w:lvl w:ilvl="1" w:tplc="FE440E4C">
      <w:start w:val="1"/>
      <w:numFmt w:val="lowerLetter"/>
      <w:lvlText w:val="%2."/>
      <w:lvlJc w:val="left"/>
      <w:pPr>
        <w:ind w:left="1474" w:hanging="737"/>
      </w:pPr>
      <w:rPr>
        <w:rFonts w:hint="default"/>
      </w:rPr>
    </w:lvl>
    <w:lvl w:ilvl="2" w:tplc="B49EABC6">
      <w:start w:val="1"/>
      <w:numFmt w:val="lowerRoman"/>
      <w:lvlText w:val="%3."/>
      <w:lvlJc w:val="left"/>
      <w:pPr>
        <w:ind w:left="2211" w:hanging="737"/>
      </w:pPr>
      <w:rPr>
        <w:rFonts w:hint="default"/>
      </w:rPr>
    </w:lvl>
    <w:lvl w:ilvl="3" w:tplc="6EE4863A">
      <w:start w:val="1"/>
      <w:numFmt w:val="decimal"/>
      <w:lvlText w:val="%4."/>
      <w:lvlJc w:val="left"/>
      <w:pPr>
        <w:ind w:left="2948" w:hanging="737"/>
      </w:pPr>
      <w:rPr>
        <w:rFonts w:hint="default"/>
      </w:rPr>
    </w:lvl>
    <w:lvl w:ilvl="4" w:tplc="FCF02AAA">
      <w:start w:val="1"/>
      <w:numFmt w:val="lowerLetter"/>
      <w:lvlText w:val="%5."/>
      <w:lvlJc w:val="left"/>
      <w:pPr>
        <w:ind w:left="3685" w:hanging="737"/>
      </w:pPr>
      <w:rPr>
        <w:rFonts w:hint="default"/>
      </w:rPr>
    </w:lvl>
    <w:lvl w:ilvl="5" w:tplc="3656E1D6">
      <w:start w:val="1"/>
      <w:numFmt w:val="lowerRoman"/>
      <w:lvlText w:val="%6."/>
      <w:lvlJc w:val="left"/>
      <w:pPr>
        <w:ind w:left="4422" w:hanging="737"/>
      </w:pPr>
      <w:rPr>
        <w:rFonts w:hint="default"/>
      </w:rPr>
    </w:lvl>
    <w:lvl w:ilvl="6" w:tplc="692EA2F0">
      <w:start w:val="1"/>
      <w:numFmt w:val="decimal"/>
      <w:lvlText w:val="%7."/>
      <w:lvlJc w:val="left"/>
      <w:pPr>
        <w:ind w:left="5159" w:hanging="737"/>
      </w:pPr>
      <w:rPr>
        <w:rFonts w:hint="default"/>
      </w:rPr>
    </w:lvl>
    <w:lvl w:ilvl="7" w:tplc="6176411A">
      <w:start w:val="1"/>
      <w:numFmt w:val="lowerLetter"/>
      <w:lvlText w:val="%8."/>
      <w:lvlJc w:val="left"/>
      <w:pPr>
        <w:ind w:left="5896" w:hanging="737"/>
      </w:pPr>
      <w:rPr>
        <w:rFonts w:hint="default"/>
      </w:rPr>
    </w:lvl>
    <w:lvl w:ilvl="8" w:tplc="D35CECF8">
      <w:start w:val="1"/>
      <w:numFmt w:val="lowerRoman"/>
      <w:lvlText w:val="%9."/>
      <w:lvlJc w:val="left"/>
      <w:pPr>
        <w:ind w:left="6633" w:hanging="737"/>
      </w:pPr>
      <w:rPr>
        <w:rFonts w:hint="default"/>
      </w:r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D76856"/>
    <w:multiLevelType w:val="hybridMultilevel"/>
    <w:tmpl w:val="F80441EA"/>
    <w:lvl w:ilvl="0" w:tplc="61705BEC">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25"/>
  </w:num>
  <w:num w:numId="2">
    <w:abstractNumId w:val="19"/>
  </w:num>
  <w:num w:numId="3">
    <w:abstractNumId w:val="2"/>
  </w:num>
  <w:num w:numId="4">
    <w:abstractNumId w:val="26"/>
  </w:num>
  <w:num w:numId="5">
    <w:abstractNumId w:val="27"/>
  </w:num>
  <w:num w:numId="6">
    <w:abstractNumId w:val="30"/>
  </w:num>
  <w:num w:numId="7">
    <w:abstractNumId w:val="13"/>
  </w:num>
  <w:num w:numId="8">
    <w:abstractNumId w:val="15"/>
  </w:num>
  <w:num w:numId="9">
    <w:abstractNumId w:val="7"/>
  </w:num>
  <w:num w:numId="10">
    <w:abstractNumId w:val="40"/>
  </w:num>
  <w:num w:numId="11">
    <w:abstractNumId w:val="17"/>
  </w:num>
  <w:num w:numId="12">
    <w:abstractNumId w:val="39"/>
  </w:num>
  <w:num w:numId="13">
    <w:abstractNumId w:val="32"/>
  </w:num>
  <w:num w:numId="14">
    <w:abstractNumId w:val="12"/>
  </w:num>
  <w:num w:numId="15">
    <w:abstractNumId w:val="24"/>
  </w:num>
  <w:num w:numId="16">
    <w:abstractNumId w:val="41"/>
  </w:num>
  <w:num w:numId="17">
    <w:abstractNumId w:val="37"/>
  </w:num>
  <w:num w:numId="18">
    <w:abstractNumId w:val="20"/>
  </w:num>
  <w:num w:numId="19">
    <w:abstractNumId w:val="9"/>
  </w:num>
  <w:num w:numId="20">
    <w:abstractNumId w:val="21"/>
  </w:num>
  <w:num w:numId="21">
    <w:abstractNumId w:val="4"/>
  </w:num>
  <w:num w:numId="22">
    <w:abstractNumId w:val="23"/>
  </w:num>
  <w:num w:numId="23">
    <w:abstractNumId w:val="22"/>
  </w:num>
  <w:num w:numId="24">
    <w:abstractNumId w:val="10"/>
  </w:num>
  <w:num w:numId="25">
    <w:abstractNumId w:val="42"/>
  </w:num>
  <w:num w:numId="26">
    <w:abstractNumId w:val="6"/>
  </w:num>
  <w:num w:numId="27">
    <w:abstractNumId w:val="5"/>
  </w:num>
  <w:num w:numId="28">
    <w:abstractNumId w:val="16"/>
  </w:num>
  <w:num w:numId="29">
    <w:abstractNumId w:val="14"/>
  </w:num>
  <w:num w:numId="30">
    <w:abstractNumId w:val="35"/>
  </w:num>
  <w:num w:numId="31">
    <w:abstractNumId w:val="43"/>
  </w:num>
  <w:num w:numId="32">
    <w:abstractNumId w:val="11"/>
  </w:num>
  <w:num w:numId="33">
    <w:abstractNumId w:val="3"/>
  </w:num>
  <w:num w:numId="34">
    <w:abstractNumId w:val="38"/>
  </w:num>
  <w:num w:numId="35">
    <w:abstractNumId w:val="28"/>
  </w:num>
  <w:num w:numId="36">
    <w:abstractNumId w:val="29"/>
  </w:num>
  <w:num w:numId="37">
    <w:abstractNumId w:val="8"/>
  </w:num>
  <w:num w:numId="38">
    <w:abstractNumId w:val="34"/>
  </w:num>
  <w:num w:numId="39">
    <w:abstractNumId w:val="36"/>
  </w:num>
  <w:num w:numId="40">
    <w:abstractNumId w:val="31"/>
  </w:num>
  <w:num w:numId="41">
    <w:abstractNumId w:val="18"/>
  </w:num>
  <w:num w:numId="42">
    <w:abstractNumId w:val="33"/>
  </w:num>
  <w:num w:numId="43">
    <w:abstractNumId w:val="1"/>
  </w:num>
  <w:num w:numId="44">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B60"/>
    <w:rsid w:val="000366D8"/>
    <w:rsid w:val="00036BA1"/>
    <w:rsid w:val="00037B07"/>
    <w:rsid w:val="0004052A"/>
    <w:rsid w:val="000412B3"/>
    <w:rsid w:val="00041826"/>
    <w:rsid w:val="00041B48"/>
    <w:rsid w:val="000422E2"/>
    <w:rsid w:val="00042F22"/>
    <w:rsid w:val="000444EF"/>
    <w:rsid w:val="00045A70"/>
    <w:rsid w:val="00045C4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616E7"/>
    <w:rsid w:val="00063F03"/>
    <w:rsid w:val="000642D8"/>
    <w:rsid w:val="0006487E"/>
    <w:rsid w:val="00064D3A"/>
    <w:rsid w:val="0006510E"/>
    <w:rsid w:val="00065E1A"/>
    <w:rsid w:val="00066C49"/>
    <w:rsid w:val="00066EA7"/>
    <w:rsid w:val="00073365"/>
    <w:rsid w:val="000750A6"/>
    <w:rsid w:val="00077E5F"/>
    <w:rsid w:val="0008036A"/>
    <w:rsid w:val="000808D1"/>
    <w:rsid w:val="00080CBB"/>
    <w:rsid w:val="00080E22"/>
    <w:rsid w:val="00081AE6"/>
    <w:rsid w:val="00082415"/>
    <w:rsid w:val="00083085"/>
    <w:rsid w:val="00084878"/>
    <w:rsid w:val="00084B35"/>
    <w:rsid w:val="000855EB"/>
    <w:rsid w:val="00085B52"/>
    <w:rsid w:val="000866F2"/>
    <w:rsid w:val="00086842"/>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56F2"/>
    <w:rsid w:val="000B10E8"/>
    <w:rsid w:val="000B2719"/>
    <w:rsid w:val="000B3A8F"/>
    <w:rsid w:val="000B407C"/>
    <w:rsid w:val="000B4AB9"/>
    <w:rsid w:val="000B572B"/>
    <w:rsid w:val="000B58C3"/>
    <w:rsid w:val="000B61E9"/>
    <w:rsid w:val="000B6CBF"/>
    <w:rsid w:val="000B6FDF"/>
    <w:rsid w:val="000B75A1"/>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7359"/>
    <w:rsid w:val="000E04FA"/>
    <w:rsid w:val="000E0527"/>
    <w:rsid w:val="000E0F2D"/>
    <w:rsid w:val="000E1E92"/>
    <w:rsid w:val="000E209C"/>
    <w:rsid w:val="000E2D27"/>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122"/>
    <w:rsid w:val="001153EA"/>
    <w:rsid w:val="001154BB"/>
    <w:rsid w:val="00115643"/>
    <w:rsid w:val="00116765"/>
    <w:rsid w:val="00116820"/>
    <w:rsid w:val="00120A85"/>
    <w:rsid w:val="0012100A"/>
    <w:rsid w:val="001219F5"/>
    <w:rsid w:val="00121A20"/>
    <w:rsid w:val="00121F34"/>
    <w:rsid w:val="001222D4"/>
    <w:rsid w:val="0012377F"/>
    <w:rsid w:val="00124314"/>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848"/>
    <w:rsid w:val="00143D25"/>
    <w:rsid w:val="0014466D"/>
    <w:rsid w:val="00145959"/>
    <w:rsid w:val="001473CE"/>
    <w:rsid w:val="001505A3"/>
    <w:rsid w:val="00150822"/>
    <w:rsid w:val="001511B4"/>
    <w:rsid w:val="00151E23"/>
    <w:rsid w:val="001526E0"/>
    <w:rsid w:val="00154CE6"/>
    <w:rsid w:val="001551B5"/>
    <w:rsid w:val="00157279"/>
    <w:rsid w:val="0015769E"/>
    <w:rsid w:val="001617F4"/>
    <w:rsid w:val="00162951"/>
    <w:rsid w:val="00162FB5"/>
    <w:rsid w:val="00163762"/>
    <w:rsid w:val="00164071"/>
    <w:rsid w:val="00164241"/>
    <w:rsid w:val="001659C1"/>
    <w:rsid w:val="0016710F"/>
    <w:rsid w:val="00167F7F"/>
    <w:rsid w:val="00171766"/>
    <w:rsid w:val="00171D51"/>
    <w:rsid w:val="00172465"/>
    <w:rsid w:val="00173A8E"/>
    <w:rsid w:val="00173C66"/>
    <w:rsid w:val="0017502C"/>
    <w:rsid w:val="00175F47"/>
    <w:rsid w:val="0017641C"/>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3854"/>
    <w:rsid w:val="001A429F"/>
    <w:rsid w:val="001A50A5"/>
    <w:rsid w:val="001A5A28"/>
    <w:rsid w:val="001A6173"/>
    <w:rsid w:val="001A6CBA"/>
    <w:rsid w:val="001B0A41"/>
    <w:rsid w:val="001B0D97"/>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0ECA"/>
    <w:rsid w:val="001F2118"/>
    <w:rsid w:val="001F28E8"/>
    <w:rsid w:val="001F3916"/>
    <w:rsid w:val="001F54C5"/>
    <w:rsid w:val="001F590D"/>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501"/>
    <w:rsid w:val="00230765"/>
    <w:rsid w:val="00230D18"/>
    <w:rsid w:val="0023145C"/>
    <w:rsid w:val="002319E4"/>
    <w:rsid w:val="00235632"/>
    <w:rsid w:val="00235872"/>
    <w:rsid w:val="0023638A"/>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6DC"/>
    <w:rsid w:val="00285D4E"/>
    <w:rsid w:val="00286ACD"/>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990"/>
    <w:rsid w:val="002C1A59"/>
    <w:rsid w:val="002C303E"/>
    <w:rsid w:val="002C41E6"/>
    <w:rsid w:val="002C61E8"/>
    <w:rsid w:val="002C664E"/>
    <w:rsid w:val="002C6B32"/>
    <w:rsid w:val="002C7D2A"/>
    <w:rsid w:val="002D012D"/>
    <w:rsid w:val="002D071A"/>
    <w:rsid w:val="002D1108"/>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347A"/>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4B0"/>
    <w:rsid w:val="00385BF0"/>
    <w:rsid w:val="00387DE8"/>
    <w:rsid w:val="00392A7D"/>
    <w:rsid w:val="003935A0"/>
    <w:rsid w:val="003939FF"/>
    <w:rsid w:val="00396E47"/>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15EA2"/>
    <w:rsid w:val="00416744"/>
    <w:rsid w:val="0042101E"/>
    <w:rsid w:val="00421105"/>
    <w:rsid w:val="00421C59"/>
    <w:rsid w:val="00422AA4"/>
    <w:rsid w:val="0042302A"/>
    <w:rsid w:val="004236E1"/>
    <w:rsid w:val="004242F4"/>
    <w:rsid w:val="004251B9"/>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4755"/>
    <w:rsid w:val="004669E2"/>
    <w:rsid w:val="00466C0E"/>
    <w:rsid w:val="00467441"/>
    <w:rsid w:val="00470C31"/>
    <w:rsid w:val="00471DE0"/>
    <w:rsid w:val="00472C19"/>
    <w:rsid w:val="004734D0"/>
    <w:rsid w:val="004742A2"/>
    <w:rsid w:val="00474363"/>
    <w:rsid w:val="0047456F"/>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64F1"/>
    <w:rsid w:val="004A16BC"/>
    <w:rsid w:val="004A2502"/>
    <w:rsid w:val="004A2B94"/>
    <w:rsid w:val="004A2E53"/>
    <w:rsid w:val="004A4B33"/>
    <w:rsid w:val="004A63FC"/>
    <w:rsid w:val="004A7B2F"/>
    <w:rsid w:val="004B0BBD"/>
    <w:rsid w:val="004B233E"/>
    <w:rsid w:val="004B25A1"/>
    <w:rsid w:val="004B312B"/>
    <w:rsid w:val="004B3D22"/>
    <w:rsid w:val="004B40A3"/>
    <w:rsid w:val="004B4970"/>
    <w:rsid w:val="004B4B28"/>
    <w:rsid w:val="004B6F6A"/>
    <w:rsid w:val="004B7C0C"/>
    <w:rsid w:val="004C06A4"/>
    <w:rsid w:val="004C18BF"/>
    <w:rsid w:val="004C209F"/>
    <w:rsid w:val="004C2654"/>
    <w:rsid w:val="004C3898"/>
    <w:rsid w:val="004C4172"/>
    <w:rsid w:val="004C5907"/>
    <w:rsid w:val="004C6358"/>
    <w:rsid w:val="004D0E48"/>
    <w:rsid w:val="004D1E3A"/>
    <w:rsid w:val="004D30E6"/>
    <w:rsid w:val="004D36B1"/>
    <w:rsid w:val="004D38DA"/>
    <w:rsid w:val="004D4E57"/>
    <w:rsid w:val="004D543C"/>
    <w:rsid w:val="004D6C92"/>
    <w:rsid w:val="004D7752"/>
    <w:rsid w:val="004D7EBD"/>
    <w:rsid w:val="004E04A6"/>
    <w:rsid w:val="004E2680"/>
    <w:rsid w:val="004E28F9"/>
    <w:rsid w:val="004E3493"/>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35F7"/>
    <w:rsid w:val="00513867"/>
    <w:rsid w:val="0051461B"/>
    <w:rsid w:val="00514BEF"/>
    <w:rsid w:val="005153A7"/>
    <w:rsid w:val="0051561A"/>
    <w:rsid w:val="005161A0"/>
    <w:rsid w:val="005215DF"/>
    <w:rsid w:val="005219CF"/>
    <w:rsid w:val="00523F91"/>
    <w:rsid w:val="0052500B"/>
    <w:rsid w:val="00525C0D"/>
    <w:rsid w:val="00526A7C"/>
    <w:rsid w:val="00534B59"/>
    <w:rsid w:val="00536759"/>
    <w:rsid w:val="00536953"/>
    <w:rsid w:val="0053730E"/>
    <w:rsid w:val="00537C62"/>
    <w:rsid w:val="00543BBB"/>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43AE"/>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7A6"/>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80"/>
    <w:rsid w:val="00621206"/>
    <w:rsid w:val="00621ECE"/>
    <w:rsid w:val="0062230E"/>
    <w:rsid w:val="006233E0"/>
    <w:rsid w:val="006234A6"/>
    <w:rsid w:val="00623763"/>
    <w:rsid w:val="00623E6C"/>
    <w:rsid w:val="006275ED"/>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E4F"/>
    <w:rsid w:val="00647EB3"/>
    <w:rsid w:val="00650AB9"/>
    <w:rsid w:val="00653F47"/>
    <w:rsid w:val="006555E4"/>
    <w:rsid w:val="00655733"/>
    <w:rsid w:val="00655ACD"/>
    <w:rsid w:val="00656A92"/>
    <w:rsid w:val="00656AEE"/>
    <w:rsid w:val="00656DDE"/>
    <w:rsid w:val="006572AF"/>
    <w:rsid w:val="0066011D"/>
    <w:rsid w:val="006607C0"/>
    <w:rsid w:val="006613A6"/>
    <w:rsid w:val="006616A8"/>
    <w:rsid w:val="006619DC"/>
    <w:rsid w:val="006624B7"/>
    <w:rsid w:val="006627A2"/>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280E"/>
    <w:rsid w:val="00683ECE"/>
    <w:rsid w:val="00685505"/>
    <w:rsid w:val="00686430"/>
    <w:rsid w:val="006931BD"/>
    <w:rsid w:val="006957F0"/>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4A66"/>
    <w:rsid w:val="006D5EFD"/>
    <w:rsid w:val="006D61EC"/>
    <w:rsid w:val="006D6F08"/>
    <w:rsid w:val="006D76AF"/>
    <w:rsid w:val="006E062B"/>
    <w:rsid w:val="006E062C"/>
    <w:rsid w:val="006E0A92"/>
    <w:rsid w:val="006E0AA6"/>
    <w:rsid w:val="006E1C82"/>
    <w:rsid w:val="006E2221"/>
    <w:rsid w:val="006E28B7"/>
    <w:rsid w:val="006E2A82"/>
    <w:rsid w:val="006E2A9B"/>
    <w:rsid w:val="006E3310"/>
    <w:rsid w:val="006E3F13"/>
    <w:rsid w:val="006E4E39"/>
    <w:rsid w:val="006E565E"/>
    <w:rsid w:val="006E673D"/>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48B1"/>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50DC8"/>
    <w:rsid w:val="00751228"/>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3D2D"/>
    <w:rsid w:val="007B3FD8"/>
    <w:rsid w:val="007B50AE"/>
    <w:rsid w:val="007B51DF"/>
    <w:rsid w:val="007B5694"/>
    <w:rsid w:val="007B7E4C"/>
    <w:rsid w:val="007C00B0"/>
    <w:rsid w:val="007C05DD"/>
    <w:rsid w:val="007C1075"/>
    <w:rsid w:val="007C2A97"/>
    <w:rsid w:val="007C2CE0"/>
    <w:rsid w:val="007C371E"/>
    <w:rsid w:val="007C3D18"/>
    <w:rsid w:val="007C4864"/>
    <w:rsid w:val="007C5A2A"/>
    <w:rsid w:val="007C5F4C"/>
    <w:rsid w:val="007C60BF"/>
    <w:rsid w:val="007C6A07"/>
    <w:rsid w:val="007C7013"/>
    <w:rsid w:val="007C712C"/>
    <w:rsid w:val="007C75A1"/>
    <w:rsid w:val="007C77A5"/>
    <w:rsid w:val="007D0271"/>
    <w:rsid w:val="007D04E5"/>
    <w:rsid w:val="007D3C6C"/>
    <w:rsid w:val="007D5353"/>
    <w:rsid w:val="007D5901"/>
    <w:rsid w:val="007D7526"/>
    <w:rsid w:val="007E0751"/>
    <w:rsid w:val="007E0845"/>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7F8"/>
    <w:rsid w:val="00804BC2"/>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EF5"/>
    <w:rsid w:val="0086351C"/>
    <w:rsid w:val="00863EC2"/>
    <w:rsid w:val="00864BA8"/>
    <w:rsid w:val="00866ABC"/>
    <w:rsid w:val="008677FD"/>
    <w:rsid w:val="00867C13"/>
    <w:rsid w:val="00867E03"/>
    <w:rsid w:val="008706D4"/>
    <w:rsid w:val="00870F8A"/>
    <w:rsid w:val="0087155E"/>
    <w:rsid w:val="008719A4"/>
    <w:rsid w:val="00871D23"/>
    <w:rsid w:val="00872B78"/>
    <w:rsid w:val="00874312"/>
    <w:rsid w:val="0087437C"/>
    <w:rsid w:val="00874641"/>
    <w:rsid w:val="00875CD7"/>
    <w:rsid w:val="00876B4D"/>
    <w:rsid w:val="00877750"/>
    <w:rsid w:val="008778DE"/>
    <w:rsid w:val="00877F18"/>
    <w:rsid w:val="008800D7"/>
    <w:rsid w:val="00881238"/>
    <w:rsid w:val="00881A64"/>
    <w:rsid w:val="00882402"/>
    <w:rsid w:val="0088510F"/>
    <w:rsid w:val="0088538B"/>
    <w:rsid w:val="00886749"/>
    <w:rsid w:val="0088721C"/>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0513"/>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5C05"/>
    <w:rsid w:val="00946174"/>
    <w:rsid w:val="00946945"/>
    <w:rsid w:val="009475B9"/>
    <w:rsid w:val="00947713"/>
    <w:rsid w:val="009505EE"/>
    <w:rsid w:val="00950DE7"/>
    <w:rsid w:val="009515EE"/>
    <w:rsid w:val="00951F3A"/>
    <w:rsid w:val="00952983"/>
    <w:rsid w:val="0095385A"/>
    <w:rsid w:val="00953920"/>
    <w:rsid w:val="00953D47"/>
    <w:rsid w:val="0095681E"/>
    <w:rsid w:val="009572D4"/>
    <w:rsid w:val="00957CF4"/>
    <w:rsid w:val="00957EE7"/>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611A"/>
    <w:rsid w:val="009C6E52"/>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E7D5A"/>
    <w:rsid w:val="009F08F3"/>
    <w:rsid w:val="009F344F"/>
    <w:rsid w:val="009F7C1D"/>
    <w:rsid w:val="009F7D7C"/>
    <w:rsid w:val="00A01C73"/>
    <w:rsid w:val="00A0212D"/>
    <w:rsid w:val="00A02E86"/>
    <w:rsid w:val="00A03116"/>
    <w:rsid w:val="00A031D8"/>
    <w:rsid w:val="00A048A8"/>
    <w:rsid w:val="00A04F49"/>
    <w:rsid w:val="00A0746C"/>
    <w:rsid w:val="00A12D5A"/>
    <w:rsid w:val="00A13E54"/>
    <w:rsid w:val="00A15F0C"/>
    <w:rsid w:val="00A1664D"/>
    <w:rsid w:val="00A16E71"/>
    <w:rsid w:val="00A17411"/>
    <w:rsid w:val="00A1765A"/>
    <w:rsid w:val="00A17C6E"/>
    <w:rsid w:val="00A17F63"/>
    <w:rsid w:val="00A211B1"/>
    <w:rsid w:val="00A2193B"/>
    <w:rsid w:val="00A226AE"/>
    <w:rsid w:val="00A234C1"/>
    <w:rsid w:val="00A2351A"/>
    <w:rsid w:val="00A2424F"/>
    <w:rsid w:val="00A25E00"/>
    <w:rsid w:val="00A264A9"/>
    <w:rsid w:val="00A2671B"/>
    <w:rsid w:val="00A2684D"/>
    <w:rsid w:val="00A26DCF"/>
    <w:rsid w:val="00A27785"/>
    <w:rsid w:val="00A27799"/>
    <w:rsid w:val="00A30187"/>
    <w:rsid w:val="00A3262A"/>
    <w:rsid w:val="00A32776"/>
    <w:rsid w:val="00A32D6A"/>
    <w:rsid w:val="00A32FF8"/>
    <w:rsid w:val="00A3448A"/>
    <w:rsid w:val="00A34EE1"/>
    <w:rsid w:val="00A36297"/>
    <w:rsid w:val="00A36BCD"/>
    <w:rsid w:val="00A37811"/>
    <w:rsid w:val="00A37AEA"/>
    <w:rsid w:val="00A41E2B"/>
    <w:rsid w:val="00A42830"/>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689A"/>
    <w:rsid w:val="00AA7DC1"/>
    <w:rsid w:val="00AB0727"/>
    <w:rsid w:val="00AB0BC8"/>
    <w:rsid w:val="00AB11B0"/>
    <w:rsid w:val="00AB11CA"/>
    <w:rsid w:val="00AB14D9"/>
    <w:rsid w:val="00AB15B5"/>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BD6"/>
    <w:rsid w:val="00AD3F94"/>
    <w:rsid w:val="00AD4A5A"/>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AA9"/>
    <w:rsid w:val="00B02FA3"/>
    <w:rsid w:val="00B03F2A"/>
    <w:rsid w:val="00B0487D"/>
    <w:rsid w:val="00B05084"/>
    <w:rsid w:val="00B054A1"/>
    <w:rsid w:val="00B05745"/>
    <w:rsid w:val="00B13F88"/>
    <w:rsid w:val="00B157F9"/>
    <w:rsid w:val="00B15836"/>
    <w:rsid w:val="00B20256"/>
    <w:rsid w:val="00B20D09"/>
    <w:rsid w:val="00B22AD1"/>
    <w:rsid w:val="00B26805"/>
    <w:rsid w:val="00B2698B"/>
    <w:rsid w:val="00B27608"/>
    <w:rsid w:val="00B2763F"/>
    <w:rsid w:val="00B27AAC"/>
    <w:rsid w:val="00B30929"/>
    <w:rsid w:val="00B33CB4"/>
    <w:rsid w:val="00B36A14"/>
    <w:rsid w:val="00B372AA"/>
    <w:rsid w:val="00B40445"/>
    <w:rsid w:val="00B40511"/>
    <w:rsid w:val="00B409E0"/>
    <w:rsid w:val="00B41888"/>
    <w:rsid w:val="00B42C2C"/>
    <w:rsid w:val="00B42F9A"/>
    <w:rsid w:val="00B454E1"/>
    <w:rsid w:val="00B45A52"/>
    <w:rsid w:val="00B46175"/>
    <w:rsid w:val="00B50AA1"/>
    <w:rsid w:val="00B51EDB"/>
    <w:rsid w:val="00B548B7"/>
    <w:rsid w:val="00B549FC"/>
    <w:rsid w:val="00B54DD6"/>
    <w:rsid w:val="00B571E7"/>
    <w:rsid w:val="00B60154"/>
    <w:rsid w:val="00B6161E"/>
    <w:rsid w:val="00B61AB2"/>
    <w:rsid w:val="00B62A86"/>
    <w:rsid w:val="00B644C4"/>
    <w:rsid w:val="00B65B1C"/>
    <w:rsid w:val="00B65FF5"/>
    <w:rsid w:val="00B66338"/>
    <w:rsid w:val="00B664C7"/>
    <w:rsid w:val="00B67497"/>
    <w:rsid w:val="00B701A6"/>
    <w:rsid w:val="00B713D8"/>
    <w:rsid w:val="00B717E3"/>
    <w:rsid w:val="00B71F21"/>
    <w:rsid w:val="00B739F6"/>
    <w:rsid w:val="00B755E0"/>
    <w:rsid w:val="00B76019"/>
    <w:rsid w:val="00B80D1B"/>
    <w:rsid w:val="00B81A6C"/>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2280"/>
    <w:rsid w:val="00BA2A08"/>
    <w:rsid w:val="00BA56D2"/>
    <w:rsid w:val="00BA76E0"/>
    <w:rsid w:val="00BA7B2A"/>
    <w:rsid w:val="00BB13BD"/>
    <w:rsid w:val="00BB2A25"/>
    <w:rsid w:val="00BB3777"/>
    <w:rsid w:val="00BB4B51"/>
    <w:rsid w:val="00BB51E9"/>
    <w:rsid w:val="00BB6692"/>
    <w:rsid w:val="00BB6E10"/>
    <w:rsid w:val="00BB76F2"/>
    <w:rsid w:val="00BC0FDC"/>
    <w:rsid w:val="00BC1125"/>
    <w:rsid w:val="00BC2D0A"/>
    <w:rsid w:val="00BC3053"/>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B4"/>
    <w:rsid w:val="00BE2FA6"/>
    <w:rsid w:val="00BE333F"/>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4D4B"/>
    <w:rsid w:val="00C154BB"/>
    <w:rsid w:val="00C169D7"/>
    <w:rsid w:val="00C179B7"/>
    <w:rsid w:val="00C20F33"/>
    <w:rsid w:val="00C2121B"/>
    <w:rsid w:val="00C2347B"/>
    <w:rsid w:val="00C23BDD"/>
    <w:rsid w:val="00C23CA2"/>
    <w:rsid w:val="00C2478D"/>
    <w:rsid w:val="00C26F81"/>
    <w:rsid w:val="00C27818"/>
    <w:rsid w:val="00C279B5"/>
    <w:rsid w:val="00C27C45"/>
    <w:rsid w:val="00C303DE"/>
    <w:rsid w:val="00C30AEC"/>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131"/>
    <w:rsid w:val="00C53BB6"/>
    <w:rsid w:val="00C547BB"/>
    <w:rsid w:val="00C54861"/>
    <w:rsid w:val="00C54995"/>
    <w:rsid w:val="00C54D41"/>
    <w:rsid w:val="00C5539E"/>
    <w:rsid w:val="00C605CF"/>
    <w:rsid w:val="00C60783"/>
    <w:rsid w:val="00C60880"/>
    <w:rsid w:val="00C60EF4"/>
    <w:rsid w:val="00C61E9F"/>
    <w:rsid w:val="00C620D7"/>
    <w:rsid w:val="00C62AC8"/>
    <w:rsid w:val="00C63BC7"/>
    <w:rsid w:val="00C641D0"/>
    <w:rsid w:val="00C64672"/>
    <w:rsid w:val="00C64D18"/>
    <w:rsid w:val="00C66986"/>
    <w:rsid w:val="00C66BD9"/>
    <w:rsid w:val="00C701B9"/>
    <w:rsid w:val="00C70697"/>
    <w:rsid w:val="00C72093"/>
    <w:rsid w:val="00C72EF4"/>
    <w:rsid w:val="00C739FC"/>
    <w:rsid w:val="00C744FE"/>
    <w:rsid w:val="00C74F02"/>
    <w:rsid w:val="00C75D2F"/>
    <w:rsid w:val="00C767BE"/>
    <w:rsid w:val="00C76E3C"/>
    <w:rsid w:val="00C774EA"/>
    <w:rsid w:val="00C77681"/>
    <w:rsid w:val="00C77A38"/>
    <w:rsid w:val="00C80159"/>
    <w:rsid w:val="00C80590"/>
    <w:rsid w:val="00C80791"/>
    <w:rsid w:val="00C81568"/>
    <w:rsid w:val="00C81945"/>
    <w:rsid w:val="00C832F2"/>
    <w:rsid w:val="00C83ABA"/>
    <w:rsid w:val="00C85560"/>
    <w:rsid w:val="00C8676D"/>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3F3"/>
    <w:rsid w:val="00CA3F4F"/>
    <w:rsid w:val="00CA5934"/>
    <w:rsid w:val="00CA6C2B"/>
    <w:rsid w:val="00CB091E"/>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1FC9"/>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6948"/>
    <w:rsid w:val="00D1784D"/>
    <w:rsid w:val="00D179B8"/>
    <w:rsid w:val="00D22D0A"/>
    <w:rsid w:val="00D239A7"/>
    <w:rsid w:val="00D23F47"/>
    <w:rsid w:val="00D26797"/>
    <w:rsid w:val="00D27BC5"/>
    <w:rsid w:val="00D30B07"/>
    <w:rsid w:val="00D31CCA"/>
    <w:rsid w:val="00D33F86"/>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46FF"/>
    <w:rsid w:val="00D552A6"/>
    <w:rsid w:val="00D556B5"/>
    <w:rsid w:val="00D55AD5"/>
    <w:rsid w:val="00D55E66"/>
    <w:rsid w:val="00D576CA"/>
    <w:rsid w:val="00D57880"/>
    <w:rsid w:val="00D57BF3"/>
    <w:rsid w:val="00D606C3"/>
    <w:rsid w:val="00D61802"/>
    <w:rsid w:val="00D61AF5"/>
    <w:rsid w:val="00D652B5"/>
    <w:rsid w:val="00D65C97"/>
    <w:rsid w:val="00D66155"/>
    <w:rsid w:val="00D708B0"/>
    <w:rsid w:val="00D70E3B"/>
    <w:rsid w:val="00D7182A"/>
    <w:rsid w:val="00D71931"/>
    <w:rsid w:val="00D726DE"/>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A59E1"/>
    <w:rsid w:val="00DB0136"/>
    <w:rsid w:val="00DB0A9F"/>
    <w:rsid w:val="00DB35AA"/>
    <w:rsid w:val="00DB377D"/>
    <w:rsid w:val="00DB4718"/>
    <w:rsid w:val="00DB4C2C"/>
    <w:rsid w:val="00DC1683"/>
    <w:rsid w:val="00DC1A1E"/>
    <w:rsid w:val="00DC29B0"/>
    <w:rsid w:val="00DC2D36"/>
    <w:rsid w:val="00DC3EC8"/>
    <w:rsid w:val="00DC53EF"/>
    <w:rsid w:val="00DC5E64"/>
    <w:rsid w:val="00DD488A"/>
    <w:rsid w:val="00DD65F7"/>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2BC"/>
    <w:rsid w:val="00E078C8"/>
    <w:rsid w:val="00E110E7"/>
    <w:rsid w:val="00E11B20"/>
    <w:rsid w:val="00E13272"/>
    <w:rsid w:val="00E14966"/>
    <w:rsid w:val="00E1539D"/>
    <w:rsid w:val="00E15689"/>
    <w:rsid w:val="00E16476"/>
    <w:rsid w:val="00E16D36"/>
    <w:rsid w:val="00E17FA2"/>
    <w:rsid w:val="00E202A7"/>
    <w:rsid w:val="00E2233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791"/>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201"/>
    <w:rsid w:val="00E64434"/>
    <w:rsid w:val="00E651BF"/>
    <w:rsid w:val="00E651EA"/>
    <w:rsid w:val="00E67C51"/>
    <w:rsid w:val="00E7013D"/>
    <w:rsid w:val="00E70BDB"/>
    <w:rsid w:val="00E710A9"/>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6752"/>
    <w:rsid w:val="00EC71CE"/>
    <w:rsid w:val="00EC7834"/>
    <w:rsid w:val="00ED1006"/>
    <w:rsid w:val="00ED2D9A"/>
    <w:rsid w:val="00ED2E19"/>
    <w:rsid w:val="00ED3598"/>
    <w:rsid w:val="00ED40C4"/>
    <w:rsid w:val="00ED46A0"/>
    <w:rsid w:val="00ED4FDF"/>
    <w:rsid w:val="00ED6838"/>
    <w:rsid w:val="00EE0910"/>
    <w:rsid w:val="00EE15AE"/>
    <w:rsid w:val="00EE21EF"/>
    <w:rsid w:val="00EE27D8"/>
    <w:rsid w:val="00EE2CD6"/>
    <w:rsid w:val="00EE6E3B"/>
    <w:rsid w:val="00EE6F23"/>
    <w:rsid w:val="00EE787F"/>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40EA"/>
    <w:rsid w:val="00F15405"/>
    <w:rsid w:val="00F15FA5"/>
    <w:rsid w:val="00F175A1"/>
    <w:rsid w:val="00F1784B"/>
    <w:rsid w:val="00F17EFC"/>
    <w:rsid w:val="00F209B7"/>
    <w:rsid w:val="00F20CBC"/>
    <w:rsid w:val="00F21A47"/>
    <w:rsid w:val="00F2376F"/>
    <w:rsid w:val="00F243D8"/>
    <w:rsid w:val="00F253B6"/>
    <w:rsid w:val="00F27864"/>
    <w:rsid w:val="00F27D6A"/>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40A9"/>
    <w:rsid w:val="00F56633"/>
    <w:rsid w:val="00F56808"/>
    <w:rsid w:val="00F56FC1"/>
    <w:rsid w:val="00F577D5"/>
    <w:rsid w:val="00F60203"/>
    <w:rsid w:val="00F607C5"/>
    <w:rsid w:val="00F60DEA"/>
    <w:rsid w:val="00F62301"/>
    <w:rsid w:val="00F6302A"/>
    <w:rsid w:val="00F63950"/>
    <w:rsid w:val="00F64C2B"/>
    <w:rsid w:val="00F64D78"/>
    <w:rsid w:val="00F64D9C"/>
    <w:rsid w:val="00F651BE"/>
    <w:rsid w:val="00F654EF"/>
    <w:rsid w:val="00F65536"/>
    <w:rsid w:val="00F65AFA"/>
    <w:rsid w:val="00F674BA"/>
    <w:rsid w:val="00F67F53"/>
    <w:rsid w:val="00F703BE"/>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59D8"/>
    <w:rsid w:val="00F868F5"/>
    <w:rsid w:val="00F86966"/>
    <w:rsid w:val="00F86AE2"/>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C80"/>
    <w:rsid w:val="00FB585C"/>
    <w:rsid w:val="00FB5EF7"/>
    <w:rsid w:val="00FB6A6A"/>
    <w:rsid w:val="00FB775D"/>
    <w:rsid w:val="00FC2F1C"/>
    <w:rsid w:val="00FC7429"/>
    <w:rsid w:val="00FC7CE9"/>
    <w:rsid w:val="00FD07F6"/>
    <w:rsid w:val="00FD1EC8"/>
    <w:rsid w:val="00FD357D"/>
    <w:rsid w:val="00FD47ED"/>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13340</TotalTime>
  <Pages>9</Pages>
  <Words>3512</Words>
  <Characters>19046</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22513</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198</cp:revision>
  <cp:lastPrinted>2021-01-08T23:59:00Z</cp:lastPrinted>
  <dcterms:created xsi:type="dcterms:W3CDTF">2021-04-05T23:12:00Z</dcterms:created>
  <dcterms:modified xsi:type="dcterms:W3CDTF">2022-02-14T15:34:00Z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